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4C" w:rsidRDefault="00120938">
      <w:pPr>
        <w:pStyle w:val="ConsPlusNormal"/>
        <w:jc w:val="right"/>
      </w:pPr>
      <w:r>
        <w:t>Принято и введено в действие</w:t>
      </w:r>
    </w:p>
    <w:p w:rsidR="00BD0C4C" w:rsidRDefault="00120938">
      <w:pPr>
        <w:pStyle w:val="ConsPlusNormal"/>
        <w:jc w:val="right"/>
      </w:pPr>
      <w:r>
        <w:t>Приказом Федерального агентства</w:t>
      </w:r>
    </w:p>
    <w:p w:rsidR="00BD0C4C" w:rsidRDefault="00120938">
      <w:pPr>
        <w:pStyle w:val="ConsPlusNormal"/>
        <w:jc w:val="right"/>
      </w:pPr>
      <w:r>
        <w:t>по техническому регулированию</w:t>
      </w:r>
    </w:p>
    <w:p w:rsidR="00BD0C4C" w:rsidRDefault="00120938">
      <w:pPr>
        <w:pStyle w:val="ConsPlusNormal"/>
        <w:jc w:val="right"/>
      </w:pPr>
      <w:r>
        <w:t>и метрологии</w:t>
      </w:r>
    </w:p>
    <w:p w:rsidR="00BD0C4C" w:rsidRDefault="00120938">
      <w:pPr>
        <w:pStyle w:val="ConsPlusNormal"/>
        <w:jc w:val="right"/>
      </w:pPr>
      <w:r>
        <w:t>от 23.06.2020 № 296-ст</w:t>
      </w:r>
    </w:p>
    <w:p w:rsidR="00BD0C4C" w:rsidRDefault="00BD0C4C">
      <w:pPr>
        <w:pStyle w:val="ConsPlusNormal"/>
        <w:jc w:val="right"/>
      </w:pPr>
    </w:p>
    <w:p w:rsidR="00BD0C4C" w:rsidRDefault="00120938">
      <w:pPr>
        <w:pStyle w:val="ConsPlusNormal"/>
        <w:jc w:val="right"/>
      </w:pPr>
      <w:r>
        <w:t xml:space="preserve">Дата введения - 2020-07-01 </w:t>
      </w:r>
    </w:p>
    <w:p w:rsidR="00BD0C4C" w:rsidRDefault="00120938">
      <w:pPr>
        <w:pStyle w:val="ConsPlusNormal"/>
        <w:jc w:val="right"/>
      </w:pPr>
      <w:r>
        <w:t>с правом досрочного применения</w:t>
      </w:r>
    </w:p>
    <w:p w:rsidR="00BD0C4C" w:rsidRDefault="00120938">
      <w:pPr>
        <w:pStyle w:val="ConsPlusNormal"/>
        <w:jc w:val="right"/>
      </w:pPr>
      <w:r>
        <w:t xml:space="preserve">в правоотношениях, возникших </w:t>
      </w:r>
    </w:p>
    <w:p w:rsidR="00BD0C4C" w:rsidRDefault="00120938">
      <w:pPr>
        <w:pStyle w:val="ConsPlusNormal"/>
        <w:jc w:val="right"/>
      </w:pPr>
      <w:r>
        <w:t>с 2017-12-20</w:t>
      </w:r>
    </w:p>
    <w:p w:rsidR="00BD0C4C" w:rsidRDefault="00BD0C4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D0C4C" w:rsidRDefault="00BD0C4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D0C4C" w:rsidRDefault="00BD0C4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D0C4C" w:rsidRDefault="00120938">
      <w:pPr>
        <w:pStyle w:val="ConsPlusTitle"/>
        <w:jc w:val="center"/>
      </w:pPr>
      <w:r>
        <w:rPr>
          <w:color w:val="000000"/>
          <w:sz w:val="20"/>
          <w:szCs w:val="20"/>
        </w:rPr>
        <w:t>ИЗМЕНЕНИЕ 15/2020 ОКЕИ</w:t>
      </w:r>
    </w:p>
    <w:p w:rsidR="00BD0C4C" w:rsidRDefault="00120938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ЕДИНИЦ ИЗМЕРЕНИЯ</w:t>
      </w:r>
    </w:p>
    <w:p w:rsidR="00BD0C4C" w:rsidRDefault="00120938">
      <w:pPr>
        <w:pStyle w:val="ConsPlusTitle"/>
        <w:jc w:val="center"/>
      </w:pPr>
      <w:r>
        <w:rPr>
          <w:color w:val="000000"/>
          <w:sz w:val="20"/>
          <w:szCs w:val="20"/>
        </w:rPr>
        <w:t>ОК 015-94 (МК 002-97)</w:t>
      </w:r>
    </w:p>
    <w:p w:rsidR="00BD0C4C" w:rsidRDefault="00BD0C4C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BD0C4C" w:rsidRDefault="00120938">
      <w:pPr>
        <w:pStyle w:val="ConsPlusTitle"/>
        <w:spacing w:after="120"/>
      </w:pPr>
      <w:r>
        <w:rPr>
          <w:color w:val="000000"/>
          <w:sz w:val="20"/>
          <w:szCs w:val="20"/>
        </w:rPr>
        <w:t>Раздел 2. Национальные единицы измерения, включенные в ОКЕИ</w:t>
      </w:r>
    </w:p>
    <w:tbl>
      <w:tblPr>
        <w:tblW w:w="10318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7"/>
        <w:gridCol w:w="1191"/>
        <w:gridCol w:w="2569"/>
        <w:gridCol w:w="2312"/>
        <w:gridCol w:w="2849"/>
      </w:tblGrid>
      <w:tr w:rsidR="00BD0C4C" w:rsidTr="00CD0E54">
        <w:trPr>
          <w:jc w:val="center"/>
        </w:trPr>
        <w:tc>
          <w:tcPr>
            <w:tcW w:w="90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27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2710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2410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Условное обозначение </w:t>
            </w:r>
          </w:p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(национальное)</w:t>
            </w:r>
          </w:p>
        </w:tc>
        <w:tc>
          <w:tcPr>
            <w:tcW w:w="3014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Кодовое буквенное обозначение </w:t>
            </w:r>
          </w:p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(национальное)</w:t>
            </w:r>
          </w:p>
        </w:tc>
      </w:tr>
      <w:tr w:rsidR="00BD0C4C" w:rsidTr="00CD0E54">
        <w:trPr>
          <w:jc w:val="center"/>
        </w:trPr>
        <w:tc>
          <w:tcPr>
            <w:tcW w:w="10318" w:type="dxa"/>
            <w:gridSpan w:val="5"/>
            <w:tcBorders>
              <w:bottom w:val="nil"/>
            </w:tcBorders>
            <w:shd w:val="clear" w:color="auto" w:fill="auto"/>
            <w:tcMar>
              <w:top w:w="284" w:type="dxa"/>
              <w:bottom w:w="0" w:type="dxa"/>
            </w:tcMar>
            <w:vAlign w:val="bottom"/>
          </w:tcPr>
          <w:p w:rsidR="00BD0C4C" w:rsidRDefault="00120938">
            <w:pPr>
              <w:widowControl w:val="0"/>
              <w:spacing w:before="120"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  <w:p w:rsidR="00BD0C4C" w:rsidRDefault="00120938">
            <w:pPr>
              <w:widowControl w:val="0"/>
              <w:spacing w:before="40"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Экономические единицы</w:t>
            </w:r>
          </w:p>
        </w:tc>
      </w:tr>
      <w:tr w:rsidR="00BD0C4C" w:rsidTr="00CD0E54">
        <w:trPr>
          <w:jc w:val="center"/>
        </w:trPr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Километр в сутки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км/сут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КМ/СУТ</w:t>
            </w:r>
          </w:p>
        </w:tc>
      </w:tr>
    </w:tbl>
    <w:p w:rsidR="00BD0C4C" w:rsidRDefault="00BD0C4C">
      <w:pPr>
        <w:pStyle w:val="ConsPlusTitle"/>
        <w:spacing w:after="120"/>
        <w:rPr>
          <w:color w:val="000000"/>
          <w:sz w:val="20"/>
          <w:szCs w:val="20"/>
        </w:rPr>
      </w:pPr>
    </w:p>
    <w:p w:rsidR="00BD0C4C" w:rsidRDefault="00BD0C4C">
      <w:pPr>
        <w:pStyle w:val="ConsPlusTitle"/>
        <w:spacing w:after="120"/>
        <w:rPr>
          <w:color w:val="000000"/>
          <w:sz w:val="20"/>
          <w:szCs w:val="20"/>
        </w:rPr>
      </w:pPr>
    </w:p>
    <w:p w:rsidR="00BD0C4C" w:rsidRDefault="00120938">
      <w:pPr>
        <w:pStyle w:val="ConsPlusTitle"/>
        <w:spacing w:after="120"/>
      </w:pPr>
      <w:r>
        <w:rPr>
          <w:color w:val="000000"/>
          <w:sz w:val="20"/>
          <w:szCs w:val="20"/>
        </w:rPr>
        <w:t>Приложение Б. Алфавитный указатель единиц измерения</w:t>
      </w:r>
    </w:p>
    <w:tbl>
      <w:tblPr>
        <w:tblW w:w="10318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6"/>
        <w:gridCol w:w="5451"/>
        <w:gridCol w:w="1760"/>
        <w:gridCol w:w="1711"/>
      </w:tblGrid>
      <w:tr w:rsidR="00BD0C4C" w:rsidTr="00CD0E54">
        <w:trPr>
          <w:jc w:val="center"/>
        </w:trPr>
        <w:tc>
          <w:tcPr>
            <w:tcW w:w="90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579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807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Номер раздела, приложения</w:t>
            </w:r>
          </w:p>
        </w:tc>
        <w:tc>
          <w:tcPr>
            <w:tcW w:w="1806" w:type="dxa"/>
            <w:shd w:val="clear" w:color="auto" w:fill="auto"/>
          </w:tcPr>
          <w:p w:rsidR="00BD0C4C" w:rsidRDefault="00120938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Код</w:t>
            </w:r>
          </w:p>
        </w:tc>
      </w:tr>
      <w:tr w:rsidR="00BD0C4C" w:rsidTr="00CD0E54">
        <w:trPr>
          <w:trHeight w:val="454"/>
          <w:jc w:val="center"/>
        </w:trPr>
        <w:tc>
          <w:tcPr>
            <w:tcW w:w="10317" w:type="dxa"/>
            <w:gridSpan w:val="4"/>
            <w:tcBorders>
              <w:bottom w:val="nil"/>
            </w:tcBorders>
            <w:shd w:val="clear" w:color="auto" w:fill="auto"/>
            <w:tcMar>
              <w:top w:w="85" w:type="dxa"/>
              <w:bottom w:w="85" w:type="dxa"/>
            </w:tcMar>
            <w:vAlign w:val="bottom"/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ИСПРАВИТЬ</w:t>
            </w:r>
          </w:p>
        </w:tc>
      </w:tr>
      <w:tr w:rsidR="00BD0C4C" w:rsidTr="00CD0E54">
        <w:trPr>
          <w:jc w:val="center"/>
        </w:trPr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94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left w:w="85" w:type="dxa"/>
              <w:bottom w:w="28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 строки "Километр в час" дополнить:</w:t>
            </w:r>
          </w:p>
        </w:tc>
      </w:tr>
      <w:tr w:rsidR="00BD0C4C" w:rsidTr="00CD0E54">
        <w:trPr>
          <w:jc w:val="center"/>
        </w:trPr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BD0C4C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Autospacing="1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«Километр в сутки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5526CE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8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0C4C" w:rsidRDefault="00120938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509»</w:t>
            </w:r>
          </w:p>
        </w:tc>
      </w:tr>
    </w:tbl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120938">
      <w:pPr>
        <w:widowControl w:val="0"/>
        <w:spacing w:after="0" w:line="276" w:lineRule="auto"/>
        <w:ind w:left="283" w:right="283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BD0C4C" w:rsidRDefault="00120938">
      <w:pPr>
        <w:widowControl w:val="0"/>
        <w:spacing w:after="0" w:line="276" w:lineRule="auto"/>
        <w:ind w:left="283" w:right="283"/>
      </w:pPr>
      <w:r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BD0C4C" w:rsidRDefault="00120938">
      <w:pPr>
        <w:widowControl w:val="0"/>
        <w:spacing w:after="0" w:line="276" w:lineRule="auto"/>
        <w:ind w:left="283" w:right="283"/>
      </w:pPr>
      <w:r>
        <w:rPr>
          <w:rFonts w:ascii="Arial" w:hAnsi="Arial" w:cs="Arial"/>
          <w:sz w:val="20"/>
          <w:szCs w:val="20"/>
        </w:rPr>
        <w:t xml:space="preserve">ИСПРАВИТЬ (ИР) - изменение структурного элемента «Приложение Б» общероссийского классификатора. </w:t>
      </w:r>
    </w:p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BD0C4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D0C4C" w:rsidRDefault="00120938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9 2020 г.)</w:t>
      </w:r>
      <w:r>
        <w:t xml:space="preserve"> </w:t>
      </w:r>
    </w:p>
    <w:sectPr w:rsidR="00BD0C4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7E" w:rsidRDefault="00814D7E">
      <w:pPr>
        <w:spacing w:after="0" w:line="240" w:lineRule="auto"/>
      </w:pPr>
      <w:r>
        <w:separator/>
      </w:r>
    </w:p>
  </w:endnote>
  <w:endnote w:type="continuationSeparator" w:id="0">
    <w:p w:rsidR="00814D7E" w:rsidRDefault="0081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4C" w:rsidRDefault="00963CA3" w:rsidP="00963CA3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ЕИ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  <w:r w:rsidR="0012093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7E" w:rsidRDefault="00814D7E">
      <w:pPr>
        <w:spacing w:after="0" w:line="240" w:lineRule="auto"/>
      </w:pPr>
      <w:r>
        <w:separator/>
      </w:r>
    </w:p>
  </w:footnote>
  <w:footnote w:type="continuationSeparator" w:id="0">
    <w:p w:rsidR="00814D7E" w:rsidRDefault="0081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C4C"/>
    <w:rsid w:val="00120938"/>
    <w:rsid w:val="005526CE"/>
    <w:rsid w:val="005F4C2C"/>
    <w:rsid w:val="006F2F23"/>
    <w:rsid w:val="00795CE9"/>
    <w:rsid w:val="00814D7E"/>
    <w:rsid w:val="00963CA3"/>
    <w:rsid w:val="00BD0C4C"/>
    <w:rsid w:val="00CD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0ECED-20BF-4E3E-A52D-7BF8800B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character" w:customStyle="1" w:styleId="ListLabel1">
    <w:name w:val="ListLabel 1"/>
    <w:qFormat/>
    <w:rPr>
      <w:rFonts w:eastAsia="Times New Roman" w:cs="Symbol"/>
    </w:rPr>
  </w:style>
  <w:style w:type="character" w:customStyle="1" w:styleId="ListLabel2">
    <w:name w:val="ListLabel 2"/>
    <w:qFormat/>
    <w:rPr>
      <w:rFonts w:eastAsia="Times New Roman" w:cs="Symbol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15/2020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64</cp:revision>
  <dcterms:created xsi:type="dcterms:W3CDTF">2020-07-22T13:27:00Z</dcterms:created>
  <dcterms:modified xsi:type="dcterms:W3CDTF">2020-09-23T04:53:00Z</dcterms:modified>
  <cp:category>Общероссийские классификаторы</cp:category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