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6FC" w:rsidRDefault="000446FC">
      <w:pPr>
        <w:pStyle w:val="ConsPlusNormal"/>
        <w:jc w:val="both"/>
        <w:outlineLvl w:val="0"/>
        <w:rPr>
          <w:rFonts w:ascii="Courier New" w:hAnsi="Courier New" w:cs="Courier New"/>
        </w:rPr>
      </w:pPr>
    </w:p>
    <w:p w:rsidR="000446FC" w:rsidRDefault="00641EB3">
      <w:pPr>
        <w:pStyle w:val="ConsPlusNormal"/>
        <w:jc w:val="right"/>
      </w:pPr>
      <w:r>
        <w:t>Принято и введено в действие</w:t>
      </w:r>
    </w:p>
    <w:p w:rsidR="000446FC" w:rsidRDefault="00641EB3">
      <w:pPr>
        <w:pStyle w:val="ConsPlusNormal"/>
        <w:jc w:val="right"/>
      </w:pPr>
      <w:r>
        <w:t>Приказом Федерального агентства</w:t>
      </w:r>
    </w:p>
    <w:p w:rsidR="000446FC" w:rsidRDefault="00641EB3">
      <w:pPr>
        <w:pStyle w:val="ConsPlusNormal"/>
        <w:jc w:val="right"/>
      </w:pPr>
      <w:r>
        <w:t>по техническому регулированию</w:t>
      </w:r>
    </w:p>
    <w:p w:rsidR="000446FC" w:rsidRDefault="00641EB3">
      <w:pPr>
        <w:pStyle w:val="ConsPlusNormal"/>
        <w:jc w:val="right"/>
      </w:pPr>
      <w:r>
        <w:t>и метрологии</w:t>
      </w:r>
    </w:p>
    <w:p w:rsidR="000446FC" w:rsidRDefault="00641EB3">
      <w:pPr>
        <w:pStyle w:val="ConsPlusNormal"/>
        <w:jc w:val="right"/>
      </w:pPr>
      <w:r>
        <w:t xml:space="preserve">от </w:t>
      </w:r>
      <w:r w:rsidR="008508CE" w:rsidRPr="008508CE">
        <w:t>10.02.2021</w:t>
      </w:r>
      <w:r>
        <w:t xml:space="preserve"> № </w:t>
      </w:r>
      <w:r w:rsidR="008508CE">
        <w:t>67</w:t>
      </w:r>
      <w:r>
        <w:t>-ст</w:t>
      </w:r>
    </w:p>
    <w:p w:rsidR="000446FC" w:rsidRDefault="000446FC">
      <w:pPr>
        <w:pStyle w:val="ConsPlusNormal"/>
        <w:jc w:val="both"/>
      </w:pPr>
    </w:p>
    <w:p w:rsidR="000446FC" w:rsidRDefault="00641EB3" w:rsidP="000D09E8">
      <w:pPr>
        <w:pStyle w:val="ConsPlusNormal"/>
        <w:jc w:val="right"/>
        <w:rPr>
          <w:rFonts w:ascii="Courier New" w:hAnsi="Courier New" w:cs="Courier New"/>
        </w:rPr>
      </w:pPr>
      <w:r>
        <w:t xml:space="preserve">Дата введения - </w:t>
      </w:r>
      <w:r w:rsidR="008508CE" w:rsidRPr="008508CE">
        <w:t>2021-03-01</w:t>
      </w:r>
    </w:p>
    <w:p w:rsidR="000446FC" w:rsidRDefault="000446FC">
      <w:pPr>
        <w:pStyle w:val="ConsPlusNormal"/>
        <w:jc w:val="right"/>
        <w:rPr>
          <w:rFonts w:ascii="Courier New" w:hAnsi="Courier New" w:cs="Courier New"/>
        </w:rPr>
      </w:pPr>
    </w:p>
    <w:p w:rsidR="000D09E8" w:rsidRDefault="000D09E8">
      <w:pPr>
        <w:pStyle w:val="ConsPlusNormal"/>
        <w:jc w:val="right"/>
        <w:rPr>
          <w:rFonts w:ascii="Courier New" w:hAnsi="Courier New" w:cs="Courier New"/>
        </w:rPr>
      </w:pPr>
    </w:p>
    <w:p w:rsidR="000446FC" w:rsidRDefault="000446FC">
      <w:pPr>
        <w:pStyle w:val="ConsPlusTitle"/>
        <w:jc w:val="right"/>
        <w:rPr>
          <w:rFonts w:ascii="Courier New" w:hAnsi="Courier New" w:cs="Courier New"/>
          <w:sz w:val="20"/>
          <w:szCs w:val="20"/>
        </w:rPr>
      </w:pPr>
    </w:p>
    <w:p w:rsidR="000446FC" w:rsidRDefault="00641EB3">
      <w:pPr>
        <w:pStyle w:val="ConsPlusTitle"/>
        <w:jc w:val="center"/>
      </w:pPr>
      <w:r>
        <w:rPr>
          <w:sz w:val="20"/>
          <w:szCs w:val="20"/>
        </w:rPr>
        <w:t xml:space="preserve">ИЗМЕНЕНИЕ </w:t>
      </w:r>
      <w:r w:rsidR="008403EB">
        <w:rPr>
          <w:sz w:val="20"/>
          <w:szCs w:val="20"/>
        </w:rPr>
        <w:t>50/2021</w:t>
      </w:r>
      <w:r>
        <w:rPr>
          <w:sz w:val="20"/>
          <w:szCs w:val="20"/>
        </w:rPr>
        <w:t xml:space="preserve"> ОК</w:t>
      </w:r>
      <w:r w:rsidR="002171A2">
        <w:rPr>
          <w:sz w:val="20"/>
          <w:szCs w:val="20"/>
        </w:rPr>
        <w:t>ПД2</w:t>
      </w:r>
    </w:p>
    <w:p w:rsidR="002171A2" w:rsidRPr="002171A2" w:rsidRDefault="002171A2" w:rsidP="002171A2">
      <w:pPr>
        <w:pStyle w:val="ConsPlusTitle"/>
        <w:jc w:val="center"/>
        <w:rPr>
          <w:sz w:val="20"/>
          <w:szCs w:val="20"/>
        </w:rPr>
      </w:pPr>
      <w:r w:rsidRPr="002171A2">
        <w:rPr>
          <w:sz w:val="20"/>
          <w:szCs w:val="20"/>
        </w:rPr>
        <w:t>ОБЩЕРОССИЙСКИЙ КЛАССИФИКАТОР ПРОДУКЦИИ ПО ВИДАМ</w:t>
      </w:r>
    </w:p>
    <w:p w:rsidR="002171A2" w:rsidRPr="002171A2" w:rsidRDefault="002171A2" w:rsidP="002171A2">
      <w:pPr>
        <w:pStyle w:val="ConsPlusTitle"/>
        <w:jc w:val="center"/>
        <w:rPr>
          <w:sz w:val="20"/>
          <w:szCs w:val="20"/>
        </w:rPr>
      </w:pPr>
      <w:r w:rsidRPr="002171A2">
        <w:rPr>
          <w:sz w:val="20"/>
          <w:szCs w:val="20"/>
        </w:rPr>
        <w:t>ЭКОНОМИЧЕСКОЙ ДЕЯТЕЛЬНОСТИ</w:t>
      </w:r>
    </w:p>
    <w:p w:rsidR="000446FC" w:rsidRDefault="002171A2" w:rsidP="002171A2">
      <w:pPr>
        <w:pStyle w:val="ConsPlusTitle"/>
        <w:jc w:val="center"/>
      </w:pPr>
      <w:r w:rsidRPr="002171A2">
        <w:rPr>
          <w:sz w:val="20"/>
          <w:szCs w:val="20"/>
        </w:rPr>
        <w:t>ОК 034-2014 (КПЕС 2008)</w:t>
      </w:r>
    </w:p>
    <w:p w:rsidR="000446FC" w:rsidRDefault="000446FC">
      <w:pPr>
        <w:pStyle w:val="ConsPlusNormal"/>
        <w:jc w:val="both"/>
        <w:rPr>
          <w:rFonts w:ascii="Courier New" w:hAnsi="Courier New" w:cs="Courier New"/>
        </w:rPr>
      </w:pPr>
    </w:p>
    <w:tbl>
      <w:tblPr>
        <w:tblW w:w="5000" w:type="pct"/>
        <w:tblInd w:w="-28" w:type="dxa"/>
        <w:tblCellMar>
          <w:top w:w="28" w:type="dxa"/>
          <w:left w:w="28" w:type="dxa"/>
          <w:bottom w:w="28" w:type="dxa"/>
          <w:right w:w="28" w:type="dxa"/>
        </w:tblCellMar>
        <w:tblLook w:val="0000" w:firstRow="0" w:lastRow="0" w:firstColumn="0" w:lastColumn="0" w:noHBand="0" w:noVBand="0"/>
      </w:tblPr>
      <w:tblGrid>
        <w:gridCol w:w="907"/>
        <w:gridCol w:w="1282"/>
        <w:gridCol w:w="8071"/>
      </w:tblGrid>
      <w:tr w:rsidR="002171A2" w:rsidTr="009A4270">
        <w:trPr>
          <w:trHeight w:val="264"/>
        </w:trPr>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71A2" w:rsidRDefault="002171A2" w:rsidP="00E92A4F">
            <w:pPr>
              <w:pStyle w:val="ConsPlusNormal"/>
              <w:spacing w:line="276" w:lineRule="auto"/>
              <w:jc w:val="center"/>
            </w:pPr>
            <w:r>
              <w:rPr>
                <w:b/>
                <w:sz w:val="18"/>
                <w:szCs w:val="18"/>
              </w:rPr>
              <w:t>Аббре</w:t>
            </w:r>
            <w:r w:rsidR="00E92A4F">
              <w:rPr>
                <w:b/>
                <w:sz w:val="18"/>
                <w:szCs w:val="18"/>
              </w:rPr>
              <w:t>-</w:t>
            </w:r>
            <w:r>
              <w:rPr>
                <w:b/>
                <w:sz w:val="18"/>
                <w:szCs w:val="18"/>
              </w:rPr>
              <w:t>виатура рубрики</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71A2" w:rsidRDefault="002171A2">
            <w:pPr>
              <w:pStyle w:val="ConsPlusNormal"/>
              <w:spacing w:line="276" w:lineRule="auto"/>
              <w:jc w:val="center"/>
            </w:pPr>
            <w:r>
              <w:rPr>
                <w:b/>
                <w:sz w:val="18"/>
                <w:szCs w:val="18"/>
              </w:rPr>
              <w:t>Код</w:t>
            </w:r>
          </w:p>
        </w:tc>
        <w:tc>
          <w:tcPr>
            <w:tcW w:w="80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71A2" w:rsidRDefault="009709A7">
            <w:pPr>
              <w:pStyle w:val="ConsPlusNormal"/>
              <w:spacing w:line="276" w:lineRule="auto"/>
              <w:jc w:val="center"/>
            </w:pPr>
            <w:r w:rsidRPr="009709A7">
              <w:rPr>
                <w:b/>
                <w:sz w:val="18"/>
                <w:szCs w:val="18"/>
              </w:rPr>
              <w:t>Наименование позиции</w:t>
            </w:r>
            <w:bookmarkStart w:id="0" w:name="_GoBack"/>
            <w:bookmarkEnd w:id="0"/>
          </w:p>
        </w:tc>
      </w:tr>
      <w:tr w:rsidR="002171A2" w:rsidTr="009A4270">
        <w:trPr>
          <w:trHeight w:val="238"/>
        </w:trPr>
        <w:tc>
          <w:tcPr>
            <w:tcW w:w="907" w:type="dxa"/>
            <w:vMerge/>
            <w:tcBorders>
              <w:top w:val="single" w:sz="4" w:space="0" w:color="000000"/>
              <w:left w:val="single" w:sz="4" w:space="0" w:color="000000"/>
              <w:bottom w:val="single" w:sz="4" w:space="0" w:color="000000"/>
              <w:right w:val="single" w:sz="4" w:space="0" w:color="000000"/>
            </w:tcBorders>
            <w:shd w:val="clear" w:color="auto" w:fill="auto"/>
          </w:tcPr>
          <w:p w:rsidR="002171A2" w:rsidRDefault="002171A2">
            <w:pPr>
              <w:pStyle w:val="ConsPlusNormal"/>
              <w:spacing w:line="276" w:lineRule="auto"/>
              <w:jc w:val="center"/>
              <w:rPr>
                <w:b/>
                <w:sz w:val="18"/>
                <w:szCs w:val="18"/>
              </w:rPr>
            </w:pPr>
          </w:p>
        </w:tc>
        <w:tc>
          <w:tcPr>
            <w:tcW w:w="1282" w:type="dxa"/>
            <w:vMerge/>
            <w:tcBorders>
              <w:top w:val="single" w:sz="4" w:space="0" w:color="000000"/>
              <w:left w:val="single" w:sz="4" w:space="0" w:color="000000"/>
              <w:bottom w:val="single" w:sz="4" w:space="0" w:color="000000"/>
              <w:right w:val="single" w:sz="4" w:space="0" w:color="000000"/>
            </w:tcBorders>
            <w:shd w:val="clear" w:color="auto" w:fill="auto"/>
          </w:tcPr>
          <w:p w:rsidR="002171A2" w:rsidRDefault="002171A2">
            <w:pPr>
              <w:pStyle w:val="ConsPlusNormal"/>
              <w:spacing w:line="276" w:lineRule="auto"/>
              <w:jc w:val="center"/>
              <w:rPr>
                <w:b/>
                <w:sz w:val="18"/>
                <w:szCs w:val="18"/>
              </w:rPr>
            </w:pPr>
          </w:p>
        </w:tc>
        <w:tc>
          <w:tcPr>
            <w:tcW w:w="8071" w:type="dxa"/>
            <w:vMerge/>
            <w:tcBorders>
              <w:top w:val="single" w:sz="4" w:space="0" w:color="000000"/>
              <w:left w:val="single" w:sz="4" w:space="0" w:color="000000"/>
              <w:bottom w:val="single" w:sz="4" w:space="0" w:color="000000"/>
              <w:right w:val="single" w:sz="4" w:space="0" w:color="000000"/>
            </w:tcBorders>
            <w:shd w:val="clear" w:color="auto" w:fill="auto"/>
          </w:tcPr>
          <w:p w:rsidR="002171A2" w:rsidRDefault="002171A2">
            <w:pPr>
              <w:pStyle w:val="ConsPlusNormal"/>
              <w:spacing w:line="276" w:lineRule="auto"/>
              <w:jc w:val="center"/>
              <w:rPr>
                <w:b/>
                <w:sz w:val="18"/>
                <w:szCs w:val="18"/>
              </w:rPr>
            </w:pPr>
          </w:p>
        </w:tc>
      </w:tr>
      <w:tr w:rsidR="002171A2" w:rsidTr="003D27D7">
        <w:trPr>
          <w:trHeight w:val="567"/>
        </w:trPr>
        <w:tc>
          <w:tcPr>
            <w:tcW w:w="10260" w:type="dxa"/>
            <w:gridSpan w:val="3"/>
            <w:tcBorders>
              <w:top w:val="single" w:sz="4" w:space="0" w:color="000000"/>
            </w:tcBorders>
            <w:shd w:val="clear" w:color="auto" w:fill="auto"/>
            <w:vAlign w:val="center"/>
          </w:tcPr>
          <w:p w:rsidR="002171A2" w:rsidRDefault="003D27D7">
            <w:pPr>
              <w:pStyle w:val="ConsPlusNormal"/>
              <w:jc w:val="center"/>
            </w:pPr>
            <w:r w:rsidRPr="003D27D7">
              <w:rPr>
                <w:b/>
              </w:rPr>
              <w:t>АННУЛИРОВАТЬ</w:t>
            </w:r>
          </w:p>
        </w:tc>
      </w:tr>
      <w:tr w:rsidR="008508CE" w:rsidTr="00144D58">
        <w:tc>
          <w:tcPr>
            <w:tcW w:w="907" w:type="dxa"/>
            <w:tcMar>
              <w:top w:w="57" w:type="dxa"/>
              <w:left w:w="57" w:type="dxa"/>
              <w:bottom w:w="57" w:type="dxa"/>
              <w:right w:w="57" w:type="dxa"/>
            </w:tcMar>
          </w:tcPr>
          <w:p w:rsidR="008508CE" w:rsidRPr="008508CE" w:rsidRDefault="008508CE" w:rsidP="008508CE">
            <w:pPr>
              <w:pStyle w:val="ConsPlusNormal"/>
              <w:jc w:val="center"/>
            </w:pPr>
            <w:r w:rsidRPr="008508CE">
              <w:t>А</w:t>
            </w:r>
          </w:p>
        </w:tc>
        <w:tc>
          <w:tcPr>
            <w:tcW w:w="1282" w:type="dxa"/>
            <w:tcMar>
              <w:top w:w="57" w:type="dxa"/>
              <w:left w:w="57" w:type="dxa"/>
              <w:bottom w:w="57" w:type="dxa"/>
              <w:right w:w="57" w:type="dxa"/>
            </w:tcMar>
          </w:tcPr>
          <w:p w:rsidR="008508CE" w:rsidRPr="008508CE" w:rsidRDefault="008508CE" w:rsidP="008508CE">
            <w:pPr>
              <w:pStyle w:val="ConsPlusNormal"/>
            </w:pPr>
            <w:r w:rsidRPr="008508CE">
              <w:t>85.41.99.000</w:t>
            </w:r>
          </w:p>
        </w:tc>
        <w:tc>
          <w:tcPr>
            <w:tcW w:w="8071" w:type="dxa"/>
            <w:tcMar>
              <w:top w:w="57" w:type="dxa"/>
              <w:left w:w="57" w:type="dxa"/>
              <w:bottom w:w="57" w:type="dxa"/>
              <w:right w:w="57" w:type="dxa"/>
            </w:tcMar>
            <w:vAlign w:val="center"/>
          </w:tcPr>
          <w:p w:rsidR="008508CE" w:rsidRDefault="008508CE" w:rsidP="008508CE">
            <w:pPr>
              <w:pStyle w:val="ConsPlusNormal"/>
            </w:pPr>
            <w:r>
              <w:t>Услуги в области дополнительного образования прочие, не включенные в другие группировки</w:t>
            </w:r>
          </w:p>
        </w:tc>
      </w:tr>
      <w:tr w:rsidR="008508CE" w:rsidTr="004E061E">
        <w:trPr>
          <w:trHeight w:val="567"/>
        </w:trPr>
        <w:tc>
          <w:tcPr>
            <w:tcW w:w="10260" w:type="dxa"/>
            <w:gridSpan w:val="3"/>
            <w:tcMar>
              <w:top w:w="57" w:type="dxa"/>
              <w:left w:w="57" w:type="dxa"/>
              <w:bottom w:w="57" w:type="dxa"/>
              <w:right w:w="57" w:type="dxa"/>
            </w:tcMar>
            <w:vAlign w:val="center"/>
          </w:tcPr>
          <w:p w:rsidR="008508CE" w:rsidRPr="008508CE" w:rsidRDefault="008508CE" w:rsidP="008508CE">
            <w:pPr>
              <w:pStyle w:val="ConsPlusNormal"/>
              <w:jc w:val="center"/>
            </w:pPr>
            <w:r w:rsidRPr="008508CE">
              <w:rPr>
                <w:b/>
              </w:rPr>
              <w:t>ИЗМЕНИТЬ</w:t>
            </w:r>
          </w:p>
        </w:tc>
      </w:tr>
      <w:tr w:rsidR="008508CE" w:rsidTr="00034F2E">
        <w:tc>
          <w:tcPr>
            <w:tcW w:w="907" w:type="dxa"/>
            <w:tcMar>
              <w:top w:w="57" w:type="dxa"/>
              <w:left w:w="57" w:type="dxa"/>
              <w:bottom w:w="57" w:type="dxa"/>
              <w:right w:w="57" w:type="dxa"/>
            </w:tcMar>
          </w:tcPr>
          <w:p w:rsidR="008508CE" w:rsidRPr="008508CE" w:rsidRDefault="008508CE" w:rsidP="008508CE">
            <w:pPr>
              <w:pStyle w:val="ConsPlusNormal"/>
              <w:jc w:val="center"/>
            </w:pPr>
            <w:r w:rsidRPr="008508CE">
              <w:t>И</w:t>
            </w:r>
          </w:p>
        </w:tc>
        <w:tc>
          <w:tcPr>
            <w:tcW w:w="1282" w:type="dxa"/>
            <w:tcMar>
              <w:top w:w="57" w:type="dxa"/>
              <w:left w:w="57" w:type="dxa"/>
              <w:bottom w:w="57" w:type="dxa"/>
              <w:right w:w="57" w:type="dxa"/>
            </w:tcMar>
          </w:tcPr>
          <w:p w:rsidR="008508CE" w:rsidRPr="008508CE" w:rsidRDefault="008508CE" w:rsidP="008508CE">
            <w:pPr>
              <w:pStyle w:val="ConsPlusNormal"/>
            </w:pPr>
            <w:r w:rsidRPr="008508CE">
              <w:t>55.20.11</w:t>
            </w:r>
          </w:p>
        </w:tc>
        <w:tc>
          <w:tcPr>
            <w:tcW w:w="8071" w:type="dxa"/>
            <w:tcMar>
              <w:top w:w="57" w:type="dxa"/>
              <w:left w:w="57" w:type="dxa"/>
              <w:bottom w:w="57" w:type="dxa"/>
              <w:right w:w="57" w:type="dxa"/>
            </w:tcMar>
            <w:vAlign w:val="bottom"/>
          </w:tcPr>
          <w:p w:rsidR="008508CE" w:rsidRDefault="008508CE" w:rsidP="008508CE">
            <w:pPr>
              <w:pStyle w:val="ConsPlusNormal"/>
            </w:pPr>
            <w:r>
              <w:t>Услуги по предоставлению временного жилья для посетителей в молодежных общежитиях и домиках для отдыха</w:t>
            </w:r>
          </w:p>
          <w:p w:rsidR="008508CE" w:rsidRDefault="008508CE" w:rsidP="008508CE">
            <w:pPr>
              <w:pStyle w:val="ConsPlusNormal"/>
            </w:pPr>
            <w:r>
              <w:t>Эта группировка включает:</w:t>
            </w:r>
          </w:p>
          <w:p w:rsidR="008508CE" w:rsidRDefault="008508CE" w:rsidP="008508CE">
            <w:pPr>
              <w:pStyle w:val="ConsPlusNormal"/>
            </w:pPr>
            <w:r>
              <w:t>- услуги по предоставлению временного жилья в молодежных общежитиях, в горных приютах и домиках для отдыха, состоящие в предоставлении комнат для проживания с ограниченными услугами по уборке комнат или без предоставления таких услуг;</w:t>
            </w:r>
          </w:p>
          <w:p w:rsidR="008508CE" w:rsidRDefault="008508CE" w:rsidP="008508CE">
            <w:pPr>
              <w:pStyle w:val="ConsPlusNormal"/>
            </w:pPr>
            <w:r>
              <w:t>- услуги по предоставлению временного жилья в детских лагерях</w:t>
            </w:r>
          </w:p>
          <w:p w:rsidR="008508CE" w:rsidRDefault="008508CE" w:rsidP="008508CE">
            <w:pPr>
              <w:pStyle w:val="ConsPlusNormal"/>
            </w:pPr>
            <w:r>
              <w:t>Эта группировка не включает:</w:t>
            </w:r>
          </w:p>
          <w:p w:rsidR="008508CE" w:rsidRDefault="008508CE" w:rsidP="008508CE">
            <w:pPr>
              <w:pStyle w:val="ConsPlusNormal"/>
            </w:pPr>
            <w:r>
              <w:t>- услуги по организации отдыха детей и их оздоровления, см. 85.41.99.100</w:t>
            </w:r>
          </w:p>
        </w:tc>
      </w:tr>
      <w:tr w:rsidR="008508CE" w:rsidTr="00E93057">
        <w:tc>
          <w:tcPr>
            <w:tcW w:w="907" w:type="dxa"/>
            <w:tcMar>
              <w:top w:w="57" w:type="dxa"/>
              <w:left w:w="57" w:type="dxa"/>
              <w:bottom w:w="57" w:type="dxa"/>
              <w:right w:w="57" w:type="dxa"/>
            </w:tcMar>
          </w:tcPr>
          <w:p w:rsidR="008508CE" w:rsidRPr="008508CE" w:rsidRDefault="008508CE" w:rsidP="008508CE">
            <w:pPr>
              <w:pStyle w:val="ConsPlusNormal"/>
              <w:jc w:val="center"/>
            </w:pPr>
            <w:r w:rsidRPr="008508CE">
              <w:t>И</w:t>
            </w:r>
          </w:p>
        </w:tc>
        <w:tc>
          <w:tcPr>
            <w:tcW w:w="1282" w:type="dxa"/>
            <w:tcMar>
              <w:top w:w="57" w:type="dxa"/>
              <w:left w:w="57" w:type="dxa"/>
              <w:bottom w:w="57" w:type="dxa"/>
              <w:right w:w="57" w:type="dxa"/>
            </w:tcMar>
          </w:tcPr>
          <w:p w:rsidR="008508CE" w:rsidRPr="008508CE" w:rsidRDefault="008508CE" w:rsidP="008508CE">
            <w:pPr>
              <w:pStyle w:val="ConsPlusNormal"/>
            </w:pPr>
            <w:r w:rsidRPr="008508CE">
              <w:t>55.30.11</w:t>
            </w:r>
          </w:p>
        </w:tc>
        <w:tc>
          <w:tcPr>
            <w:tcW w:w="8071" w:type="dxa"/>
            <w:tcMar>
              <w:top w:w="57" w:type="dxa"/>
              <w:left w:w="57" w:type="dxa"/>
              <w:bottom w:w="57" w:type="dxa"/>
              <w:right w:w="57" w:type="dxa"/>
            </w:tcMar>
          </w:tcPr>
          <w:p w:rsidR="008508CE" w:rsidRDefault="008508CE" w:rsidP="008508CE">
            <w:pPr>
              <w:pStyle w:val="ConsPlusNormal"/>
            </w:pPr>
            <w:r>
              <w:t>Услуги кемпингов</w:t>
            </w:r>
          </w:p>
          <w:p w:rsidR="008508CE" w:rsidRDefault="008508CE" w:rsidP="008508CE">
            <w:pPr>
              <w:pStyle w:val="ConsPlusNormal"/>
            </w:pPr>
            <w:r>
              <w:t>Эта группировка включает:</w:t>
            </w:r>
          </w:p>
          <w:p w:rsidR="008508CE" w:rsidRDefault="008508CE" w:rsidP="008508CE">
            <w:pPr>
              <w:pStyle w:val="ConsPlusNormal"/>
            </w:pPr>
            <w:r>
              <w:t>- услуги по предоставлению места для передвижной дачи или палатки для лиц, находящихся вдали от своего места жительства, обычно предоставляемые на дневной или недельной основе услуги по предоставлению места под защитными укрытиями или на простых бивачных стоянках для размещения палаток и/или спальных мешков</w:t>
            </w:r>
          </w:p>
          <w:p w:rsidR="008508CE" w:rsidRDefault="008508CE" w:rsidP="008508CE">
            <w:pPr>
              <w:pStyle w:val="ConsPlusNormal"/>
            </w:pPr>
            <w:r>
              <w:t>Эта группировка не включает:</w:t>
            </w:r>
          </w:p>
          <w:p w:rsidR="008508CE" w:rsidRDefault="008508CE" w:rsidP="008508CE">
            <w:pPr>
              <w:pStyle w:val="ConsPlusNormal"/>
            </w:pPr>
            <w:r>
              <w:t>- услуги горных приютов, домиков отдыха и молодежных общежитий, см. 55.20.11;</w:t>
            </w:r>
          </w:p>
          <w:p w:rsidR="008508CE" w:rsidRDefault="008508CE" w:rsidP="008508CE">
            <w:pPr>
              <w:pStyle w:val="ConsPlusNormal"/>
            </w:pPr>
            <w:r>
              <w:t>- услуги по организации отдыха детей и их оздоровления, см. 85.41.99.100</w:t>
            </w:r>
          </w:p>
        </w:tc>
      </w:tr>
      <w:tr w:rsidR="008508CE" w:rsidTr="00034F2E">
        <w:tc>
          <w:tcPr>
            <w:tcW w:w="907" w:type="dxa"/>
            <w:tcMar>
              <w:top w:w="57" w:type="dxa"/>
              <w:left w:w="57" w:type="dxa"/>
              <w:bottom w:w="57" w:type="dxa"/>
              <w:right w:w="57" w:type="dxa"/>
            </w:tcMar>
          </w:tcPr>
          <w:p w:rsidR="008508CE" w:rsidRPr="008508CE" w:rsidRDefault="008508CE" w:rsidP="008508CE">
            <w:pPr>
              <w:pStyle w:val="ConsPlusNormal"/>
              <w:jc w:val="center"/>
            </w:pPr>
            <w:r w:rsidRPr="008508CE">
              <w:t>И</w:t>
            </w:r>
          </w:p>
        </w:tc>
        <w:tc>
          <w:tcPr>
            <w:tcW w:w="1282" w:type="dxa"/>
            <w:tcMar>
              <w:top w:w="57" w:type="dxa"/>
              <w:left w:w="57" w:type="dxa"/>
              <w:bottom w:w="57" w:type="dxa"/>
              <w:right w:w="57" w:type="dxa"/>
            </w:tcMar>
          </w:tcPr>
          <w:p w:rsidR="008508CE" w:rsidRPr="008508CE" w:rsidRDefault="008508CE" w:rsidP="008508CE">
            <w:pPr>
              <w:pStyle w:val="ConsPlusNormal"/>
            </w:pPr>
            <w:r w:rsidRPr="008508CE">
              <w:t>85.41.10</w:t>
            </w:r>
          </w:p>
        </w:tc>
        <w:tc>
          <w:tcPr>
            <w:tcW w:w="8071" w:type="dxa"/>
            <w:tcMar>
              <w:top w:w="57" w:type="dxa"/>
              <w:left w:w="57" w:type="dxa"/>
              <w:bottom w:w="57" w:type="dxa"/>
              <w:right w:w="57" w:type="dxa"/>
            </w:tcMar>
            <w:vAlign w:val="bottom"/>
          </w:tcPr>
          <w:p w:rsidR="008508CE" w:rsidRDefault="008508CE" w:rsidP="008508CE">
            <w:pPr>
              <w:pStyle w:val="ConsPlusNormal"/>
            </w:pPr>
            <w:r>
              <w:t>Услуги по спортивному образованию и образованию в развлекательных целях</w:t>
            </w:r>
          </w:p>
          <w:p w:rsidR="008508CE" w:rsidRDefault="008508CE" w:rsidP="008508CE">
            <w:pPr>
              <w:pStyle w:val="ConsPlusNormal"/>
            </w:pPr>
            <w:r>
              <w:t>Эта группировка включает:</w:t>
            </w:r>
          </w:p>
          <w:p w:rsidR="008508CE" w:rsidRDefault="008508CE" w:rsidP="008508CE">
            <w:pPr>
              <w:pStyle w:val="ConsPlusNormal"/>
            </w:pPr>
            <w:r>
              <w:t>- услуги по спортивному обучению (бейсболу, баскетболу, крикету, футболу и т.д.);</w:t>
            </w:r>
          </w:p>
          <w:p w:rsidR="008508CE" w:rsidRDefault="008508CE" w:rsidP="008508CE">
            <w:pPr>
              <w:pStyle w:val="ConsPlusNormal"/>
            </w:pPr>
            <w:r>
              <w:t>- услуги лагерей по спортивному обучению;</w:t>
            </w:r>
          </w:p>
          <w:p w:rsidR="008508CE" w:rsidRDefault="008508CE" w:rsidP="008508CE">
            <w:pPr>
              <w:pStyle w:val="ConsPlusNormal"/>
            </w:pPr>
            <w:r>
              <w:t>- услуги по обучению чирлидингу;</w:t>
            </w:r>
          </w:p>
          <w:p w:rsidR="008508CE" w:rsidRDefault="008508CE" w:rsidP="008508CE">
            <w:pPr>
              <w:pStyle w:val="ConsPlusNormal"/>
            </w:pPr>
            <w:r>
              <w:t>- услуги по гимнастическому обучению;</w:t>
            </w:r>
          </w:p>
          <w:p w:rsidR="008508CE" w:rsidRDefault="008508CE" w:rsidP="008508CE">
            <w:pPr>
              <w:pStyle w:val="ConsPlusNormal"/>
            </w:pPr>
            <w:r>
              <w:t>- услуги по обучению верховой езде;</w:t>
            </w:r>
          </w:p>
          <w:p w:rsidR="008508CE" w:rsidRDefault="008508CE" w:rsidP="008508CE">
            <w:pPr>
              <w:pStyle w:val="ConsPlusNormal"/>
            </w:pPr>
            <w:r>
              <w:t>- услуги по обучению плаванию;</w:t>
            </w:r>
          </w:p>
          <w:p w:rsidR="008508CE" w:rsidRDefault="008508CE" w:rsidP="008508CE">
            <w:pPr>
              <w:pStyle w:val="ConsPlusNormal"/>
            </w:pPr>
            <w:r>
              <w:t>- услуги по обучению боевым единоборствам;</w:t>
            </w:r>
          </w:p>
          <w:p w:rsidR="008508CE" w:rsidRDefault="008508CE" w:rsidP="008508CE">
            <w:pPr>
              <w:pStyle w:val="ConsPlusNormal"/>
            </w:pPr>
            <w:r>
              <w:t>- услуги по обучению карточным играм (например, бриджу);</w:t>
            </w:r>
          </w:p>
          <w:p w:rsidR="008508CE" w:rsidRDefault="008508CE" w:rsidP="008508CE">
            <w:pPr>
              <w:pStyle w:val="ConsPlusNormal"/>
            </w:pPr>
            <w:r>
              <w:t>- услуги по обучению йоге</w:t>
            </w:r>
          </w:p>
          <w:p w:rsidR="008508CE" w:rsidRDefault="008508CE" w:rsidP="008508CE">
            <w:pPr>
              <w:pStyle w:val="ConsPlusNormal"/>
            </w:pPr>
            <w:r>
              <w:t>Эта группировка не включает:</w:t>
            </w:r>
          </w:p>
          <w:p w:rsidR="008508CE" w:rsidRDefault="008508CE" w:rsidP="008508CE">
            <w:pPr>
              <w:pStyle w:val="ConsPlusNormal"/>
            </w:pPr>
            <w:r>
              <w:t>- услуги в области образования в сфере культуры, см. 85.41.2</w:t>
            </w:r>
          </w:p>
          <w:p w:rsidR="008508CE" w:rsidRDefault="008508CE" w:rsidP="008508CE">
            <w:pPr>
              <w:pStyle w:val="ConsPlusNormal"/>
            </w:pPr>
            <w:r>
              <w:t>- услуги по организации отдыха детей и их оздоровления, см. 85.41.99.100</w:t>
            </w:r>
          </w:p>
        </w:tc>
      </w:tr>
      <w:tr w:rsidR="008508CE" w:rsidTr="00E93057">
        <w:tc>
          <w:tcPr>
            <w:tcW w:w="907" w:type="dxa"/>
            <w:tcMar>
              <w:top w:w="57" w:type="dxa"/>
              <w:left w:w="57" w:type="dxa"/>
              <w:bottom w:w="57" w:type="dxa"/>
              <w:right w:w="57" w:type="dxa"/>
            </w:tcMar>
          </w:tcPr>
          <w:p w:rsidR="008508CE" w:rsidRPr="008508CE" w:rsidRDefault="008508CE" w:rsidP="008508CE">
            <w:pPr>
              <w:pStyle w:val="ConsPlusNormal"/>
              <w:jc w:val="center"/>
            </w:pPr>
            <w:r w:rsidRPr="008508CE">
              <w:t>И</w:t>
            </w:r>
          </w:p>
        </w:tc>
        <w:tc>
          <w:tcPr>
            <w:tcW w:w="1282" w:type="dxa"/>
            <w:tcMar>
              <w:top w:w="57" w:type="dxa"/>
              <w:left w:w="57" w:type="dxa"/>
              <w:bottom w:w="57" w:type="dxa"/>
              <w:right w:w="57" w:type="dxa"/>
            </w:tcMar>
          </w:tcPr>
          <w:p w:rsidR="008508CE" w:rsidRPr="008508CE" w:rsidRDefault="008508CE" w:rsidP="008508CE">
            <w:pPr>
              <w:pStyle w:val="ConsPlusNormal"/>
            </w:pPr>
            <w:r w:rsidRPr="008508CE">
              <w:t>85.41.2</w:t>
            </w:r>
          </w:p>
        </w:tc>
        <w:tc>
          <w:tcPr>
            <w:tcW w:w="8071" w:type="dxa"/>
            <w:tcMar>
              <w:top w:w="57" w:type="dxa"/>
              <w:left w:w="57" w:type="dxa"/>
              <w:bottom w:w="57" w:type="dxa"/>
              <w:right w:w="57" w:type="dxa"/>
            </w:tcMar>
          </w:tcPr>
          <w:p w:rsidR="008508CE" w:rsidRDefault="008508CE" w:rsidP="008508CE">
            <w:pPr>
              <w:pStyle w:val="ConsPlusNormal"/>
            </w:pPr>
            <w:r>
              <w:t>Услуги в области образования в сфере культуры</w:t>
            </w:r>
          </w:p>
          <w:p w:rsidR="008508CE" w:rsidRDefault="008508CE" w:rsidP="008508CE">
            <w:pPr>
              <w:pStyle w:val="ConsPlusNormal"/>
            </w:pPr>
            <w:r>
              <w:t>Эта группировка не включает:</w:t>
            </w:r>
          </w:p>
          <w:p w:rsidR="008508CE" w:rsidRDefault="008508CE" w:rsidP="008508CE">
            <w:pPr>
              <w:pStyle w:val="ConsPlusNormal"/>
            </w:pPr>
            <w:r>
              <w:t>- профессиональное обучение вышеуказанным предметам с целью получения диплома или ученой степени;</w:t>
            </w:r>
          </w:p>
          <w:p w:rsidR="008508CE" w:rsidRDefault="008508CE" w:rsidP="008508CE">
            <w:pPr>
              <w:pStyle w:val="ConsPlusNormal"/>
            </w:pPr>
            <w:r>
              <w:lastRenderedPageBreak/>
              <w:t>- услуги по организации отдыха детей и их оздоровления, см. 85.41.99.100</w:t>
            </w:r>
          </w:p>
        </w:tc>
      </w:tr>
      <w:tr w:rsidR="008508CE" w:rsidTr="00E93057">
        <w:tc>
          <w:tcPr>
            <w:tcW w:w="907" w:type="dxa"/>
            <w:tcMar>
              <w:top w:w="57" w:type="dxa"/>
              <w:left w:w="57" w:type="dxa"/>
              <w:bottom w:w="57" w:type="dxa"/>
              <w:right w:w="57" w:type="dxa"/>
            </w:tcMar>
          </w:tcPr>
          <w:p w:rsidR="008508CE" w:rsidRPr="008508CE" w:rsidRDefault="008508CE" w:rsidP="008508CE">
            <w:pPr>
              <w:pStyle w:val="ConsPlusNormal"/>
              <w:jc w:val="center"/>
            </w:pPr>
            <w:r w:rsidRPr="008508CE">
              <w:lastRenderedPageBreak/>
              <w:t>И</w:t>
            </w:r>
          </w:p>
        </w:tc>
        <w:tc>
          <w:tcPr>
            <w:tcW w:w="1282" w:type="dxa"/>
            <w:tcMar>
              <w:top w:w="57" w:type="dxa"/>
              <w:left w:w="57" w:type="dxa"/>
              <w:bottom w:w="57" w:type="dxa"/>
              <w:right w:w="57" w:type="dxa"/>
            </w:tcMar>
          </w:tcPr>
          <w:p w:rsidR="008508CE" w:rsidRPr="008508CE" w:rsidRDefault="008508CE" w:rsidP="008508CE">
            <w:pPr>
              <w:pStyle w:val="ConsPlusNormal"/>
            </w:pPr>
            <w:r w:rsidRPr="008508CE">
              <w:t>88.91.11</w:t>
            </w:r>
          </w:p>
        </w:tc>
        <w:tc>
          <w:tcPr>
            <w:tcW w:w="8071" w:type="dxa"/>
            <w:tcMar>
              <w:top w:w="57" w:type="dxa"/>
              <w:left w:w="57" w:type="dxa"/>
              <w:bottom w:w="57" w:type="dxa"/>
              <w:right w:w="57" w:type="dxa"/>
            </w:tcMar>
          </w:tcPr>
          <w:p w:rsidR="008508CE" w:rsidRDefault="008508CE" w:rsidP="008508CE">
            <w:pPr>
              <w:pStyle w:val="ConsPlusNormal"/>
            </w:pPr>
            <w:r>
              <w:t>Услуги по дневному уходу за детьми, кроме дневного ухода за детьми с физическими или умственными недостатками</w:t>
            </w:r>
          </w:p>
          <w:p w:rsidR="008508CE" w:rsidRDefault="008508CE" w:rsidP="008508CE">
            <w:pPr>
              <w:pStyle w:val="ConsPlusNormal"/>
            </w:pPr>
            <w:r>
              <w:t>Эта группировка включает:</w:t>
            </w:r>
          </w:p>
          <w:p w:rsidR="008508CE" w:rsidRDefault="008508CE" w:rsidP="008508CE">
            <w:pPr>
              <w:pStyle w:val="ConsPlusNormal"/>
            </w:pPr>
            <w:r>
              <w:t>- социальные услуги, предоставляемые без обеспечения проживания и связанные с обеспечением дневного пребывания и простейшим игровым обучением маленьких детей в детских садах и прочих учреждениях по дневному уходу за детьми</w:t>
            </w:r>
          </w:p>
          <w:p w:rsidR="008508CE" w:rsidRDefault="008508CE" w:rsidP="008508CE">
            <w:pPr>
              <w:pStyle w:val="ConsPlusNormal"/>
              <w:jc w:val="both"/>
            </w:pPr>
            <w:r>
              <w:t>Эта группировка не включает:</w:t>
            </w:r>
          </w:p>
          <w:p w:rsidR="008508CE" w:rsidRDefault="008508CE" w:rsidP="008508CE">
            <w:pPr>
              <w:pStyle w:val="ConsPlusNormal"/>
              <w:jc w:val="both"/>
            </w:pPr>
            <w:r>
              <w:t>- услуги няни по уходу за ребенком, см. 88.91.13;</w:t>
            </w:r>
          </w:p>
          <w:p w:rsidR="008508CE" w:rsidRDefault="008508CE" w:rsidP="008508CE">
            <w:pPr>
              <w:pStyle w:val="ConsPlusNormal"/>
            </w:pPr>
            <w:r>
              <w:t>- услуги по организации отдыха детей и их оздоровления, см. 85.41.99.100</w:t>
            </w:r>
          </w:p>
        </w:tc>
      </w:tr>
      <w:tr w:rsidR="008508CE" w:rsidTr="003D27D7">
        <w:trPr>
          <w:trHeight w:val="567"/>
        </w:trPr>
        <w:tc>
          <w:tcPr>
            <w:tcW w:w="10260" w:type="dxa"/>
            <w:gridSpan w:val="3"/>
            <w:shd w:val="clear" w:color="auto" w:fill="auto"/>
            <w:tcMar>
              <w:top w:w="57" w:type="dxa"/>
              <w:left w:w="57" w:type="dxa"/>
              <w:bottom w:w="57" w:type="dxa"/>
              <w:right w:w="57" w:type="dxa"/>
            </w:tcMar>
            <w:vAlign w:val="center"/>
          </w:tcPr>
          <w:p w:rsidR="008508CE" w:rsidRPr="003D27D7" w:rsidRDefault="008508CE" w:rsidP="008508CE">
            <w:pPr>
              <w:pStyle w:val="ConsPlusNormal"/>
              <w:jc w:val="center"/>
            </w:pPr>
            <w:r w:rsidRPr="003D27D7">
              <w:rPr>
                <w:b/>
              </w:rPr>
              <w:t>ВКЛЮЧИТЬ</w:t>
            </w:r>
          </w:p>
        </w:tc>
      </w:tr>
      <w:tr w:rsidR="008508CE" w:rsidTr="009E06B1">
        <w:tc>
          <w:tcPr>
            <w:tcW w:w="907" w:type="dxa"/>
            <w:tcMar>
              <w:top w:w="57" w:type="dxa"/>
              <w:left w:w="57" w:type="dxa"/>
              <w:bottom w:w="57" w:type="dxa"/>
              <w:right w:w="57" w:type="dxa"/>
            </w:tcMar>
          </w:tcPr>
          <w:p w:rsidR="008508CE" w:rsidRDefault="008508CE" w:rsidP="008508CE">
            <w:pPr>
              <w:pStyle w:val="ConsPlusNormal"/>
              <w:jc w:val="center"/>
            </w:pPr>
            <w:r>
              <w:t>В</w:t>
            </w:r>
          </w:p>
        </w:tc>
        <w:tc>
          <w:tcPr>
            <w:tcW w:w="1282" w:type="dxa"/>
            <w:tcMar>
              <w:top w:w="57" w:type="dxa"/>
              <w:left w:w="57" w:type="dxa"/>
              <w:bottom w:w="57" w:type="dxa"/>
              <w:right w:w="57" w:type="dxa"/>
            </w:tcMar>
          </w:tcPr>
          <w:p w:rsidR="008508CE" w:rsidRDefault="008508CE" w:rsidP="008508CE">
            <w:pPr>
              <w:pStyle w:val="ConsPlusNormal"/>
            </w:pPr>
            <w:r>
              <w:t>85.41.99.100</w:t>
            </w:r>
          </w:p>
        </w:tc>
        <w:tc>
          <w:tcPr>
            <w:tcW w:w="8071" w:type="dxa"/>
            <w:tcMar>
              <w:top w:w="57" w:type="dxa"/>
              <w:left w:w="57" w:type="dxa"/>
              <w:bottom w:w="57" w:type="dxa"/>
              <w:right w:w="57" w:type="dxa"/>
            </w:tcMar>
            <w:vAlign w:val="bottom"/>
          </w:tcPr>
          <w:p w:rsidR="008508CE" w:rsidRDefault="008508CE" w:rsidP="008508CE">
            <w:pPr>
              <w:pStyle w:val="ConsPlusNormal"/>
            </w:pPr>
            <w:r>
              <w:t>Услуги по организации отдыха детей и их оздоровления</w:t>
            </w:r>
          </w:p>
          <w:p w:rsidR="008508CE" w:rsidRDefault="008508CE" w:rsidP="008508CE">
            <w:pPr>
              <w:pStyle w:val="ConsPlusNormal"/>
            </w:pPr>
            <w:r>
              <w:t>Эта группировка включает:</w:t>
            </w:r>
          </w:p>
          <w:p w:rsidR="008508CE" w:rsidRDefault="008508CE" w:rsidP="008508CE">
            <w:pPr>
              <w:pStyle w:val="ConsPlusNormal"/>
            </w:pPr>
            <w:r>
              <w:t>- услуги по организации отдыха детей и их оздоровления в организациях сезонного или круглогодичного действия, стационарного и (или) нестационарного типа, с круглосуточным или дневным пребыванием</w:t>
            </w:r>
          </w:p>
        </w:tc>
      </w:tr>
      <w:tr w:rsidR="008508CE" w:rsidTr="009E06B1">
        <w:tc>
          <w:tcPr>
            <w:tcW w:w="907" w:type="dxa"/>
            <w:tcMar>
              <w:top w:w="57" w:type="dxa"/>
              <w:left w:w="57" w:type="dxa"/>
              <w:bottom w:w="57" w:type="dxa"/>
              <w:right w:w="57" w:type="dxa"/>
            </w:tcMar>
          </w:tcPr>
          <w:p w:rsidR="008508CE" w:rsidRDefault="008508CE" w:rsidP="008508CE">
            <w:pPr>
              <w:pStyle w:val="ConsPlusNormal"/>
              <w:jc w:val="center"/>
            </w:pPr>
            <w:r>
              <w:t>В</w:t>
            </w:r>
          </w:p>
        </w:tc>
        <w:tc>
          <w:tcPr>
            <w:tcW w:w="1282" w:type="dxa"/>
            <w:tcMar>
              <w:top w:w="57" w:type="dxa"/>
              <w:left w:w="57" w:type="dxa"/>
              <w:bottom w:w="57" w:type="dxa"/>
              <w:right w:w="57" w:type="dxa"/>
            </w:tcMar>
          </w:tcPr>
          <w:p w:rsidR="008508CE" w:rsidRDefault="008508CE" w:rsidP="008508CE">
            <w:pPr>
              <w:pStyle w:val="ConsPlusNormal"/>
            </w:pPr>
            <w:r>
              <w:t>85.41.99.900</w:t>
            </w:r>
          </w:p>
        </w:tc>
        <w:tc>
          <w:tcPr>
            <w:tcW w:w="8071" w:type="dxa"/>
            <w:tcMar>
              <w:top w:w="57" w:type="dxa"/>
              <w:left w:w="57" w:type="dxa"/>
              <w:bottom w:w="57" w:type="dxa"/>
              <w:right w:w="57" w:type="dxa"/>
            </w:tcMar>
            <w:vAlign w:val="bottom"/>
          </w:tcPr>
          <w:p w:rsidR="008508CE" w:rsidRDefault="008508CE" w:rsidP="008508CE">
            <w:pPr>
              <w:pStyle w:val="ConsPlusNormal"/>
            </w:pPr>
            <w:r>
              <w:t>Услуги в области дополнительного образования прочие, не включенные в другие группировки</w:t>
            </w:r>
          </w:p>
        </w:tc>
      </w:tr>
    </w:tbl>
    <w:p w:rsidR="000446FC" w:rsidRDefault="000446FC">
      <w:pPr>
        <w:spacing w:after="0"/>
        <w:ind w:left="397"/>
        <w:rPr>
          <w:rFonts w:ascii="Arial" w:hAnsi="Arial" w:cs="Arial"/>
          <w:b/>
          <w:spacing w:val="80"/>
          <w:sz w:val="20"/>
          <w:szCs w:val="20"/>
        </w:rPr>
      </w:pPr>
    </w:p>
    <w:p w:rsidR="000446FC" w:rsidRDefault="000446FC">
      <w:pPr>
        <w:spacing w:after="0"/>
        <w:ind w:left="397"/>
        <w:rPr>
          <w:rFonts w:ascii="Arial" w:hAnsi="Arial" w:cs="Arial"/>
          <w:b/>
          <w:spacing w:val="80"/>
          <w:sz w:val="20"/>
          <w:szCs w:val="20"/>
        </w:rPr>
      </w:pPr>
    </w:p>
    <w:p w:rsidR="002171A2" w:rsidRDefault="002171A2">
      <w:pPr>
        <w:spacing w:after="0"/>
        <w:ind w:left="397"/>
        <w:rPr>
          <w:rFonts w:ascii="Arial" w:hAnsi="Arial" w:cs="Arial"/>
          <w:b/>
          <w:spacing w:val="80"/>
          <w:sz w:val="20"/>
          <w:szCs w:val="20"/>
        </w:rPr>
      </w:pPr>
    </w:p>
    <w:p w:rsidR="000446FC" w:rsidRDefault="00641EB3">
      <w:pPr>
        <w:spacing w:after="0"/>
        <w:ind w:left="397"/>
      </w:pPr>
      <w:r>
        <w:rPr>
          <w:rFonts w:ascii="Arial" w:hAnsi="Arial" w:cs="Arial"/>
          <w:b/>
          <w:spacing w:val="80"/>
          <w:sz w:val="20"/>
          <w:szCs w:val="20"/>
        </w:rPr>
        <w:t>Примечание</w:t>
      </w:r>
      <w:r>
        <w:rPr>
          <w:rFonts w:ascii="Arial" w:hAnsi="Arial" w:cs="Arial"/>
          <w:sz w:val="20"/>
          <w:szCs w:val="20"/>
        </w:rPr>
        <w:t xml:space="preserve"> - </w:t>
      </w:r>
      <w:r w:rsidR="007D5FE3" w:rsidRPr="007D5FE3">
        <w:rPr>
          <w:rFonts w:ascii="Arial" w:hAnsi="Arial" w:cs="Arial"/>
          <w:sz w:val="20"/>
          <w:szCs w:val="20"/>
        </w:rPr>
        <w:t>В изменении используются следующие рубрики</w:t>
      </w:r>
      <w:r>
        <w:rPr>
          <w:rFonts w:ascii="Arial" w:hAnsi="Arial" w:cs="Arial"/>
          <w:sz w:val="20"/>
          <w:szCs w:val="20"/>
        </w:rPr>
        <w:t>:</w:t>
      </w:r>
    </w:p>
    <w:p w:rsidR="007D5FE3" w:rsidRPr="007D5FE3" w:rsidRDefault="007D5FE3" w:rsidP="007D5FE3">
      <w:pPr>
        <w:spacing w:after="0"/>
        <w:ind w:left="397"/>
        <w:rPr>
          <w:rFonts w:ascii="Arial" w:hAnsi="Arial" w:cs="Arial"/>
          <w:sz w:val="20"/>
          <w:szCs w:val="20"/>
        </w:rPr>
      </w:pPr>
      <w:r w:rsidRPr="007D5FE3">
        <w:rPr>
          <w:rFonts w:ascii="Arial" w:hAnsi="Arial" w:cs="Arial"/>
          <w:sz w:val="20"/>
          <w:szCs w:val="20"/>
        </w:rPr>
        <w:t>АННУЛИРОВАТЬ (А) - исключение из общероссийского классификатора позиции с данным кодом;</w:t>
      </w:r>
    </w:p>
    <w:p w:rsidR="00624A67" w:rsidRDefault="007D5FE3" w:rsidP="007D5FE3">
      <w:pPr>
        <w:spacing w:after="0"/>
        <w:ind w:left="397"/>
        <w:rPr>
          <w:rFonts w:ascii="Arial" w:hAnsi="Arial" w:cs="Arial"/>
          <w:sz w:val="20"/>
          <w:szCs w:val="20"/>
        </w:rPr>
      </w:pPr>
      <w:r w:rsidRPr="007D5FE3">
        <w:rPr>
          <w:rFonts w:ascii="Arial" w:hAnsi="Arial" w:cs="Arial"/>
          <w:sz w:val="20"/>
          <w:szCs w:val="20"/>
        </w:rPr>
        <w:t>ВКЛЮЧИТЬ (В) - включение в общероссийский классификатор позиции с новым кодом</w:t>
      </w:r>
      <w:r w:rsidR="00624A67">
        <w:rPr>
          <w:rFonts w:ascii="Arial" w:hAnsi="Arial" w:cs="Arial"/>
          <w:sz w:val="20"/>
          <w:szCs w:val="20"/>
        </w:rPr>
        <w:t>;</w:t>
      </w:r>
    </w:p>
    <w:p w:rsidR="000446FC" w:rsidRDefault="00624A67" w:rsidP="007D5FE3">
      <w:pPr>
        <w:spacing w:after="0"/>
        <w:ind w:left="397"/>
      </w:pPr>
      <w:r>
        <w:rPr>
          <w:rFonts w:ascii="Arial" w:hAnsi="Arial" w:cs="Arial"/>
          <w:sz w:val="20"/>
          <w:szCs w:val="20"/>
        </w:rPr>
        <w:t>ИЗМЕНИТЬ (И) - изменение части позиции общероссийского классификатора без изменения ее кода</w:t>
      </w:r>
      <w:r w:rsidR="00641EB3">
        <w:rPr>
          <w:rFonts w:ascii="Arial" w:hAnsi="Arial" w:cs="Arial"/>
          <w:sz w:val="20"/>
          <w:szCs w:val="20"/>
        </w:rPr>
        <w:t xml:space="preserve">. </w:t>
      </w:r>
    </w:p>
    <w:p w:rsidR="000446FC" w:rsidRDefault="000446FC">
      <w:pPr>
        <w:pStyle w:val="aa"/>
        <w:jc w:val="both"/>
        <w:rPr>
          <w:rFonts w:ascii="Arial" w:hAnsi="Arial" w:cs="Arial"/>
          <w:sz w:val="20"/>
          <w:szCs w:val="20"/>
        </w:rPr>
      </w:pPr>
    </w:p>
    <w:p w:rsidR="000446FC" w:rsidRDefault="000446FC">
      <w:pPr>
        <w:widowControl w:val="0"/>
        <w:spacing w:after="0"/>
        <w:ind w:left="284" w:right="284"/>
        <w:jc w:val="both"/>
        <w:rPr>
          <w:rFonts w:ascii="Arial" w:hAnsi="Arial" w:cs="Arial"/>
          <w:sz w:val="20"/>
          <w:szCs w:val="20"/>
        </w:rPr>
      </w:pPr>
    </w:p>
    <w:p w:rsidR="000446FC" w:rsidRDefault="00641EB3">
      <w:pPr>
        <w:widowControl w:val="0"/>
        <w:spacing w:after="0"/>
        <w:ind w:left="284" w:right="284"/>
        <w:jc w:val="center"/>
      </w:pPr>
      <w:r>
        <w:rPr>
          <w:rFonts w:ascii="Arial" w:hAnsi="Arial" w:cs="Arial"/>
          <w:sz w:val="20"/>
          <w:szCs w:val="20"/>
        </w:rPr>
        <w:t xml:space="preserve">(ИУС № </w:t>
      </w:r>
      <w:r w:rsidR="00FF3BA5">
        <w:rPr>
          <w:rFonts w:ascii="Arial" w:hAnsi="Arial" w:cs="Arial"/>
          <w:sz w:val="20"/>
          <w:szCs w:val="20"/>
        </w:rPr>
        <w:t>4</w:t>
      </w:r>
      <w:r w:rsidR="00193A8D">
        <w:rPr>
          <w:rFonts w:ascii="Arial" w:hAnsi="Arial" w:cs="Arial"/>
          <w:sz w:val="20"/>
          <w:szCs w:val="20"/>
        </w:rPr>
        <w:t xml:space="preserve"> 202</w:t>
      </w:r>
      <w:r w:rsidR="009616A6">
        <w:rPr>
          <w:rFonts w:ascii="Arial" w:hAnsi="Arial" w:cs="Arial"/>
          <w:sz w:val="20"/>
          <w:szCs w:val="20"/>
        </w:rPr>
        <w:t>1</w:t>
      </w:r>
      <w:r>
        <w:rPr>
          <w:rFonts w:ascii="Arial" w:hAnsi="Arial" w:cs="Arial"/>
          <w:sz w:val="20"/>
          <w:szCs w:val="20"/>
        </w:rPr>
        <w:t xml:space="preserve"> г.)</w:t>
      </w:r>
    </w:p>
    <w:p w:rsidR="000446FC" w:rsidRDefault="000446FC">
      <w:pPr>
        <w:pStyle w:val="ConsPlusNormal"/>
        <w:ind w:left="567" w:right="567"/>
        <w:jc w:val="both"/>
      </w:pPr>
    </w:p>
    <w:sectPr w:rsidR="000446FC">
      <w:footerReference w:type="default" r:id="rId6"/>
      <w:pgSz w:w="11906" w:h="16838"/>
      <w:pgMar w:top="567" w:right="851" w:bottom="567" w:left="85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B16" w:rsidRDefault="000A2B16" w:rsidP="00D4042D">
      <w:pPr>
        <w:spacing w:after="0" w:line="240" w:lineRule="auto"/>
      </w:pPr>
      <w:r>
        <w:separator/>
      </w:r>
    </w:p>
  </w:endnote>
  <w:endnote w:type="continuationSeparator" w:id="0">
    <w:p w:rsidR="000A2B16" w:rsidRDefault="000A2B16" w:rsidP="00D4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DejaVu Sans">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42D" w:rsidRDefault="004E061E" w:rsidP="001B3B6C">
    <w:pPr>
      <w:pStyle w:val="a9"/>
      <w:spacing w:after="120"/>
    </w:pPr>
    <w:r w:rsidRPr="00DF13E5">
      <w:rPr>
        <w:rFonts w:ascii="Times New Roman" w:hAnsi="Times New Roman"/>
        <w:b/>
        <w:caps/>
        <w:color w:val="70AD47"/>
        <w:sz w:val="20"/>
        <w:szCs w:val="20"/>
      </w:rPr>
      <w:t>По порядку точка ру</w:t>
    </w:r>
    <w:r>
      <w:rPr>
        <w:rFonts w:ascii="Times New Roman" w:hAnsi="Times New Roman"/>
        <w:b/>
        <w:color w:val="70AD47"/>
        <w:sz w:val="20"/>
      </w:rPr>
      <w:t xml:space="preserve">                </w:t>
    </w:r>
    <w:r w:rsidRPr="00DF13E5">
      <w:rPr>
        <w:rFonts w:ascii="Times New Roman" w:hAnsi="Times New Roman"/>
        <w:b/>
        <w:color w:val="70AD47"/>
        <w:sz w:val="20"/>
      </w:rPr>
      <w:t xml:space="preserve">Изменение </w:t>
    </w:r>
    <w:r w:rsidR="008403EB">
      <w:rPr>
        <w:rFonts w:ascii="Times New Roman" w:hAnsi="Times New Roman"/>
        <w:b/>
        <w:color w:val="70AD47"/>
        <w:sz w:val="20"/>
      </w:rPr>
      <w:t>50</w:t>
    </w:r>
    <w:r w:rsidRPr="00DF13E5">
      <w:rPr>
        <w:rFonts w:ascii="Times New Roman" w:hAnsi="Times New Roman"/>
        <w:b/>
        <w:color w:val="70AD47"/>
        <w:sz w:val="20"/>
      </w:rPr>
      <w:t>/</w:t>
    </w:r>
    <w:r w:rsidR="008403EB">
      <w:rPr>
        <w:rFonts w:ascii="Times New Roman" w:hAnsi="Times New Roman"/>
        <w:b/>
        <w:color w:val="70AD47"/>
        <w:sz w:val="20"/>
      </w:rPr>
      <w:t>2021</w:t>
    </w:r>
    <w:r w:rsidRPr="00DF13E5">
      <w:rPr>
        <w:rFonts w:ascii="Times New Roman" w:hAnsi="Times New Roman"/>
        <w:b/>
        <w:color w:val="70AD47"/>
        <w:sz w:val="20"/>
      </w:rPr>
      <w:t xml:space="preserve"> ОК</w:t>
    </w:r>
    <w:r>
      <w:rPr>
        <w:rFonts w:ascii="Times New Roman" w:hAnsi="Times New Roman"/>
        <w:b/>
        <w:color w:val="70AD47"/>
        <w:sz w:val="20"/>
      </w:rPr>
      <w:t>ПД-2</w:t>
    </w:r>
    <w:r w:rsidRPr="00DF13E5">
      <w:rPr>
        <w:rFonts w:ascii="Times New Roman" w:hAnsi="Times New Roman"/>
        <w:b/>
        <w:color w:val="70AD47"/>
        <w:sz w:val="20"/>
      </w:rPr>
      <w:t xml:space="preserve"> - Страница: </w:t>
    </w:r>
    <w:r w:rsidRPr="00DF13E5">
      <w:rPr>
        <w:rFonts w:ascii="Times New Roman" w:hAnsi="Times New Roman"/>
        <w:b/>
        <w:color w:val="70AD47"/>
        <w:sz w:val="20"/>
      </w:rPr>
      <w:fldChar w:fldCharType="begin"/>
    </w:r>
    <w:r w:rsidRPr="00DF13E5">
      <w:rPr>
        <w:rFonts w:ascii="Times New Roman" w:hAnsi="Times New Roman"/>
        <w:b/>
        <w:color w:val="70AD47"/>
        <w:sz w:val="20"/>
      </w:rPr>
      <w:instrText>PAGE   \* MERGEFORMAT</w:instrText>
    </w:r>
    <w:r w:rsidRPr="00DF13E5">
      <w:rPr>
        <w:rFonts w:ascii="Times New Roman" w:hAnsi="Times New Roman"/>
        <w:b/>
        <w:color w:val="70AD47"/>
        <w:sz w:val="20"/>
      </w:rPr>
      <w:fldChar w:fldCharType="separate"/>
    </w:r>
    <w:r w:rsidR="009709A7">
      <w:rPr>
        <w:rFonts w:ascii="Times New Roman" w:hAnsi="Times New Roman"/>
        <w:b/>
        <w:noProof/>
        <w:color w:val="70AD47"/>
        <w:sz w:val="20"/>
      </w:rPr>
      <w:t>1</w:t>
    </w:r>
    <w:r w:rsidRPr="00DF13E5">
      <w:rPr>
        <w:rFonts w:ascii="Times New Roman" w:hAnsi="Times New Roman"/>
        <w:b/>
        <w:color w:val="70AD47"/>
        <w:sz w:val="20"/>
      </w:rPr>
      <w:fldChar w:fldCharType="end"/>
    </w:r>
    <w:r>
      <w:rPr>
        <w:rFonts w:ascii="Times New Roman" w:hAnsi="Times New Roman"/>
        <w:b/>
        <w:color w:val="70AD47"/>
        <w:sz w:val="20"/>
      </w:rPr>
      <w:t xml:space="preserve">                </w:t>
    </w:r>
    <w:r w:rsidRPr="00DF13E5">
      <w:rPr>
        <w:rFonts w:ascii="Times New Roman" w:hAnsi="Times New Roman"/>
        <w:b/>
        <w:color w:val="70AD47"/>
        <w:sz w:val="20"/>
      </w:rPr>
      <w:t>WWW.POPORYADKU.RU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B16" w:rsidRDefault="000A2B16" w:rsidP="00D4042D">
      <w:pPr>
        <w:spacing w:after="0" w:line="240" w:lineRule="auto"/>
      </w:pPr>
      <w:r>
        <w:separator/>
      </w:r>
    </w:p>
  </w:footnote>
  <w:footnote w:type="continuationSeparator" w:id="0">
    <w:p w:rsidR="000A2B16" w:rsidRDefault="000A2B16" w:rsidP="00D404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46FC"/>
    <w:rsid w:val="000066C5"/>
    <w:rsid w:val="000446FC"/>
    <w:rsid w:val="00071D33"/>
    <w:rsid w:val="000A2B16"/>
    <w:rsid w:val="000C4371"/>
    <w:rsid w:val="000D09E8"/>
    <w:rsid w:val="00193A8D"/>
    <w:rsid w:val="001B3B6C"/>
    <w:rsid w:val="002171A2"/>
    <w:rsid w:val="003D27D7"/>
    <w:rsid w:val="004C709F"/>
    <w:rsid w:val="004E061E"/>
    <w:rsid w:val="00507EC7"/>
    <w:rsid w:val="0056013F"/>
    <w:rsid w:val="005A6046"/>
    <w:rsid w:val="00620B10"/>
    <w:rsid w:val="00624A67"/>
    <w:rsid w:val="00641EB3"/>
    <w:rsid w:val="00641FBB"/>
    <w:rsid w:val="0069565D"/>
    <w:rsid w:val="006E2941"/>
    <w:rsid w:val="00764173"/>
    <w:rsid w:val="007D5FE3"/>
    <w:rsid w:val="00823190"/>
    <w:rsid w:val="008403EB"/>
    <w:rsid w:val="008508CE"/>
    <w:rsid w:val="00883187"/>
    <w:rsid w:val="008F4C0B"/>
    <w:rsid w:val="009456CB"/>
    <w:rsid w:val="009616A6"/>
    <w:rsid w:val="009709A7"/>
    <w:rsid w:val="0099055D"/>
    <w:rsid w:val="009A4270"/>
    <w:rsid w:val="009C5C07"/>
    <w:rsid w:val="009D63FF"/>
    <w:rsid w:val="00A1310D"/>
    <w:rsid w:val="00AC7A59"/>
    <w:rsid w:val="00AE0BFB"/>
    <w:rsid w:val="00AF6A19"/>
    <w:rsid w:val="00B0584D"/>
    <w:rsid w:val="00BD3F1E"/>
    <w:rsid w:val="00CC1768"/>
    <w:rsid w:val="00D0541B"/>
    <w:rsid w:val="00D16E37"/>
    <w:rsid w:val="00D4042D"/>
    <w:rsid w:val="00E92A4F"/>
    <w:rsid w:val="00E93057"/>
    <w:rsid w:val="00F11FE5"/>
    <w:rsid w:val="00F34272"/>
    <w:rsid w:val="00F577EE"/>
    <w:rsid w:val="00F662D9"/>
    <w:rsid w:val="00FF3BA5"/>
    <w:rsid w:val="00FF78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5669E-795A-4CEE-B250-98FE1D45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kern w:val="2"/>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6" w:lineRule="auto"/>
    </w:pPr>
    <w:rPr>
      <w:rFonts w:ascii="Calibri" w:eastAsia="Times New Roman" w:hAnsi="Calibri" w:cs="Calibri"/>
      <w:sz w:val="22"/>
      <w:szCs w:val="2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rPr>
      <w:rFonts w:cs="Times New Roman"/>
    </w:rPr>
  </w:style>
  <w:style w:type="character" w:customStyle="1" w:styleId="a4">
    <w:name w:val="Нижний колонтитул Знак"/>
    <w:basedOn w:val="a0"/>
    <w:qFormat/>
    <w:rPr>
      <w:rFonts w:cs="Times New Roman"/>
    </w:rPr>
  </w:style>
  <w:style w:type="paragraph" w:customStyle="1" w:styleId="Heading">
    <w:name w:val="Heading"/>
    <w:basedOn w:val="a"/>
    <w:next w:val="a5"/>
    <w:qFormat/>
    <w:pPr>
      <w:keepNext/>
      <w:spacing w:before="240" w:after="120"/>
    </w:pPr>
    <w:rPr>
      <w:rFonts w:ascii="Liberation Sans" w:eastAsia="DejaVu Sans" w:hAnsi="Liberation Sans" w:cs="DejaVu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DocumentMap">
    <w:name w:val="DocumentMap"/>
    <w:qFormat/>
    <w:pPr>
      <w:spacing w:after="160" w:line="256" w:lineRule="auto"/>
    </w:pPr>
    <w:rPr>
      <w:rFonts w:ascii="Calibri" w:eastAsia="Times New Roman" w:hAnsi="Calibri" w:cs="Calibri"/>
      <w:sz w:val="22"/>
      <w:szCs w:val="22"/>
      <w:lang w:val="ru-RU" w:eastAsia="ru-RU" w:bidi="ar-SA"/>
    </w:rPr>
  </w:style>
  <w:style w:type="paragraph" w:customStyle="1" w:styleId="ConsPlusNormal">
    <w:name w:val="ConsPlusNormal"/>
    <w:qFormat/>
    <w:pPr>
      <w:widowControl w:val="0"/>
    </w:pPr>
    <w:rPr>
      <w:rFonts w:ascii="Arial" w:eastAsia="Times New Roman" w:hAnsi="Arial" w:cs="Arial"/>
      <w:sz w:val="20"/>
      <w:szCs w:val="20"/>
      <w:lang w:val="ru-RU" w:eastAsia="ru-RU" w:bidi="ar-SA"/>
    </w:rPr>
  </w:style>
  <w:style w:type="paragraph" w:customStyle="1" w:styleId="ConsPlusNonformat">
    <w:name w:val="ConsPlusNonformat"/>
    <w:qFormat/>
    <w:pPr>
      <w:widowControl w:val="0"/>
    </w:pPr>
    <w:rPr>
      <w:rFonts w:ascii="Courier New" w:eastAsia="Times New Roman" w:hAnsi="Courier New" w:cs="Courier New"/>
      <w:sz w:val="20"/>
      <w:szCs w:val="20"/>
      <w:lang w:val="ru-RU" w:eastAsia="ru-RU" w:bidi="ar-SA"/>
    </w:rPr>
  </w:style>
  <w:style w:type="paragraph" w:customStyle="1" w:styleId="ConsPlusTitle">
    <w:name w:val="ConsPlusTitle"/>
    <w:qFormat/>
    <w:pPr>
      <w:widowControl w:val="0"/>
    </w:pPr>
    <w:rPr>
      <w:rFonts w:ascii="Arial" w:eastAsia="Times New Roman" w:hAnsi="Arial" w:cs="Arial"/>
      <w:b/>
      <w:bCs/>
      <w:sz w:val="16"/>
      <w:szCs w:val="16"/>
      <w:lang w:val="ru-RU" w:eastAsia="ru-RU" w:bidi="ar-SA"/>
    </w:rPr>
  </w:style>
  <w:style w:type="paragraph" w:customStyle="1" w:styleId="ConsPlusCell">
    <w:name w:val="ConsPlusCell"/>
    <w:qFormat/>
    <w:pPr>
      <w:widowControl w:val="0"/>
    </w:pPr>
    <w:rPr>
      <w:rFonts w:ascii="Courier New" w:eastAsia="Times New Roman" w:hAnsi="Courier New" w:cs="Courier New"/>
      <w:sz w:val="20"/>
      <w:szCs w:val="20"/>
      <w:lang w:val="ru-RU" w:eastAsia="ru-RU" w:bidi="ar-SA"/>
    </w:rPr>
  </w:style>
  <w:style w:type="paragraph" w:customStyle="1" w:styleId="ConsPlusDocList">
    <w:name w:val="ConsPlusDocList"/>
    <w:qFormat/>
    <w:pPr>
      <w:widowControl w:val="0"/>
    </w:pPr>
    <w:rPr>
      <w:rFonts w:ascii="Tahoma" w:eastAsia="Times New Roman" w:hAnsi="Tahoma" w:cs="Tahoma"/>
      <w:sz w:val="18"/>
      <w:szCs w:val="18"/>
      <w:lang w:val="ru-RU" w:eastAsia="ru-RU" w:bidi="ar-SA"/>
    </w:rPr>
  </w:style>
  <w:style w:type="paragraph" w:customStyle="1" w:styleId="ConsPlusTitlePage">
    <w:name w:val="ConsPlusTitlePage"/>
    <w:qFormat/>
    <w:pPr>
      <w:widowControl w:val="0"/>
    </w:pPr>
    <w:rPr>
      <w:rFonts w:ascii="Tahoma" w:eastAsia="Times New Roman" w:hAnsi="Tahoma" w:cs="Tahoma"/>
      <w:sz w:val="20"/>
      <w:szCs w:val="20"/>
      <w:lang w:val="ru-RU" w:eastAsia="ru-RU" w:bidi="ar-SA"/>
    </w:rPr>
  </w:style>
  <w:style w:type="paragraph" w:customStyle="1" w:styleId="ConsPlusJurTerm">
    <w:name w:val="ConsPlusJurTerm"/>
    <w:qFormat/>
    <w:pPr>
      <w:widowControl w:val="0"/>
    </w:pPr>
    <w:rPr>
      <w:rFonts w:ascii="Arial" w:eastAsia="Times New Roman" w:hAnsi="Arial" w:cs="Arial"/>
      <w:sz w:val="20"/>
      <w:szCs w:val="20"/>
      <w:lang w:val="ru-RU" w:eastAsia="ru-RU" w:bidi="ar-SA"/>
    </w:rPr>
  </w:style>
  <w:style w:type="paragraph" w:customStyle="1" w:styleId="ConsPlusTextList">
    <w:name w:val="ConsPlusTextList"/>
    <w:qFormat/>
    <w:pPr>
      <w:widowControl w:val="0"/>
    </w:pPr>
    <w:rPr>
      <w:rFonts w:ascii="Arial" w:eastAsia="Times New Roman" w:hAnsi="Arial" w:cs="Arial"/>
      <w:sz w:val="20"/>
      <w:szCs w:val="20"/>
      <w:lang w:val="ru-RU" w:eastAsia="ru-RU" w:bidi="ar-SA"/>
    </w:rPr>
  </w:style>
  <w:style w:type="paragraph" w:customStyle="1" w:styleId="ConsPlusTextList1">
    <w:name w:val="ConsPlusTextList1"/>
    <w:qFormat/>
    <w:pPr>
      <w:widowControl w:val="0"/>
    </w:pPr>
    <w:rPr>
      <w:rFonts w:ascii="Arial" w:eastAsia="Times New Roman" w:hAnsi="Arial" w:cs="Arial"/>
      <w:sz w:val="20"/>
      <w:szCs w:val="20"/>
      <w:lang w:val="ru-RU" w:eastAsia="ru-RU" w:bidi="ar-SA"/>
    </w:rPr>
  </w:style>
  <w:style w:type="paragraph" w:customStyle="1" w:styleId="HeaderandFooter">
    <w:name w:val="Header and Footer"/>
    <w:basedOn w:val="a"/>
    <w:qFormat/>
  </w:style>
  <w:style w:type="paragraph" w:styleId="a8">
    <w:name w:val="header"/>
    <w:basedOn w:val="a"/>
    <w:pPr>
      <w:tabs>
        <w:tab w:val="center" w:pos="4677"/>
        <w:tab w:val="right" w:pos="9355"/>
      </w:tabs>
    </w:pPr>
  </w:style>
  <w:style w:type="paragraph" w:styleId="a9">
    <w:name w:val="footer"/>
    <w:basedOn w:val="a"/>
    <w:pPr>
      <w:tabs>
        <w:tab w:val="center" w:pos="4677"/>
        <w:tab w:val="right" w:pos="9355"/>
      </w:tabs>
    </w:pPr>
  </w:style>
  <w:style w:type="paragraph" w:customStyle="1" w:styleId="1">
    <w:name w:val="Сетка таблицы1"/>
    <w:basedOn w:val="DocumentMap"/>
    <w:qFormat/>
    <w:pPr>
      <w:spacing w:after="0" w:line="240" w:lineRule="auto"/>
    </w:pPr>
  </w:style>
  <w:style w:type="paragraph" w:styleId="aa">
    <w:name w:val="No Spacing"/>
    <w:qFormat/>
    <w:rPr>
      <w:rFonts w:ascii="Calibri" w:eastAsia="Times New Roman" w:hAnsi="Calibri" w:cs="Calibri"/>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557</Words>
  <Characters>3176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Изменение 48/2020 ОКПД2 ОК 034-2014</vt:lpstr>
    </vt:vector>
  </TitlesOfParts>
  <Company>По порядку точка ру (poporyadku.ru)</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Изменение 50/2021 ОКПД2 ОК 034-2014</dc:title>
  <dc:subject>Общероссийский классификатор продукции по видам экономической деятельности (ОКПД2)</dc:subject>
  <dc:creator>По порядку точка ру (poporyadku.ru)</dc:creator>
  <cp:keywords>ОКПД2; классификатор; ОК 034-2014</cp:keywords>
  <cp:lastModifiedBy>Сергей</cp:lastModifiedBy>
  <cp:revision>35</cp:revision>
  <dcterms:created xsi:type="dcterms:W3CDTF">2021-03-15T19:00:00Z</dcterms:created>
  <dcterms:modified xsi:type="dcterms:W3CDTF">2021-09-03T00:47:00Z</dcterms:modified>
  <cp:category>Общероссийские классификаторы</cp:category>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2017-05-19T22:56:00Z</dcterms:created>
  <dc:creator/>
  <dc:description/>
  <dc:language>en-US</dc:language>
  <cp:lastModifiedBy/>
  <dcterms:modified xsi:type="dcterms:W3CDTF">2020-04-25T11:50:00Z</dcterms:modified>
  <cp:revision>25</cp:revision>
  <dc:subject/>
  <dc:title>"Изменение 21/2016 ОКСМ Общероссийский классификатор стран мира ОК (МК (ИСО 3166) 004-97) 025-2001"(принято и введено в действие Приказом Росстандарта от 06.12.2016 N 1960-ст)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4016.00.32</vt:lpwstr>
  </property>
  <property fmtid="{D5CDD505-2E9C-101B-9397-08002B2CF9AE}" pid="3" name="Operator">
    <vt:lpwstr>Сергей</vt:lpwstr>
  </property>
</Properties>
</file>