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Принято и введено в действие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Приказом Федерального агентства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по техническому регулированию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и метрологии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от 2</w:t>
      </w:r>
      <w:r w:rsidR="00A560BF">
        <w:rPr>
          <w:color w:val="000000"/>
        </w:rPr>
        <w:t>7</w:t>
      </w:r>
      <w:r>
        <w:rPr>
          <w:color w:val="000000"/>
        </w:rPr>
        <w:t>.</w:t>
      </w:r>
      <w:r w:rsidR="00A560BF">
        <w:rPr>
          <w:color w:val="000000"/>
        </w:rPr>
        <w:t>12</w:t>
      </w:r>
      <w:r>
        <w:rPr>
          <w:color w:val="000000"/>
        </w:rPr>
        <w:t xml:space="preserve">.2022 № </w:t>
      </w:r>
      <w:r w:rsidR="00A560BF">
        <w:rPr>
          <w:color w:val="000000"/>
        </w:rPr>
        <w:t>1627</w:t>
      </w:r>
      <w:r>
        <w:rPr>
          <w:color w:val="000000"/>
        </w:rPr>
        <w:t>-ст</w:t>
      </w:r>
    </w:p>
    <w:p w:rsidR="00696C1E" w:rsidRDefault="00696C1E">
      <w:pPr>
        <w:pStyle w:val="ConsPlusNormal"/>
        <w:jc w:val="right"/>
        <w:rPr>
          <w:color w:val="000000"/>
        </w:rPr>
      </w:pPr>
    </w:p>
    <w:p w:rsidR="00696C1E" w:rsidRDefault="00902934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Дата введения - 202</w:t>
      </w:r>
      <w:r w:rsidR="00A560BF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-0</w:t>
      </w:r>
      <w:r w:rsidR="00A560BF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-01</w:t>
      </w:r>
    </w:p>
    <w:p w:rsidR="00696C1E" w:rsidRDefault="00902934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696C1E" w:rsidRDefault="00902934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правоотношениях, возникших 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с 202</w:t>
      </w:r>
      <w:r w:rsidR="00A560BF">
        <w:rPr>
          <w:color w:val="000000"/>
        </w:rPr>
        <w:t>3</w:t>
      </w:r>
      <w:r>
        <w:rPr>
          <w:color w:val="000000"/>
        </w:rPr>
        <w:t>-0</w:t>
      </w:r>
      <w:r w:rsidR="00A560BF">
        <w:rPr>
          <w:color w:val="000000"/>
        </w:rPr>
        <w:t>1</w:t>
      </w:r>
      <w:r>
        <w:rPr>
          <w:color w:val="000000"/>
        </w:rPr>
        <w:t>-01</w:t>
      </w:r>
    </w:p>
    <w:p w:rsidR="00696C1E" w:rsidRDefault="00696C1E">
      <w:pPr>
        <w:pStyle w:val="ConsPlusTitle"/>
        <w:jc w:val="right"/>
        <w:rPr>
          <w:color w:val="000000"/>
          <w:sz w:val="20"/>
          <w:szCs w:val="20"/>
        </w:rPr>
      </w:pPr>
    </w:p>
    <w:p w:rsidR="00696C1E" w:rsidRDefault="00696C1E">
      <w:pPr>
        <w:pStyle w:val="ConsPlusTitle"/>
        <w:jc w:val="right"/>
        <w:rPr>
          <w:color w:val="000000"/>
          <w:sz w:val="20"/>
          <w:szCs w:val="20"/>
        </w:rPr>
      </w:pPr>
    </w:p>
    <w:p w:rsidR="00696C1E" w:rsidRDefault="00696C1E">
      <w:pPr>
        <w:pStyle w:val="ConsPlusTitle"/>
        <w:jc w:val="right"/>
        <w:rPr>
          <w:color w:val="000000"/>
          <w:sz w:val="20"/>
          <w:szCs w:val="20"/>
        </w:rPr>
      </w:pPr>
    </w:p>
    <w:p w:rsidR="00696C1E" w:rsidRDefault="00902934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ИЗМЕНЕНИЕ </w:t>
      </w:r>
      <w:r w:rsidR="000B309C">
        <w:rPr>
          <w:color w:val="000000"/>
          <w:sz w:val="20"/>
          <w:szCs w:val="20"/>
        </w:rPr>
        <w:t>50</w:t>
      </w:r>
      <w:r>
        <w:rPr>
          <w:color w:val="000000"/>
          <w:sz w:val="20"/>
          <w:szCs w:val="20"/>
        </w:rPr>
        <w:t>/2022 ОКВ</w:t>
      </w:r>
    </w:p>
    <w:p w:rsidR="00696C1E" w:rsidRDefault="00902934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ОБЩЕРОССИЙСКИЙ КЛАССИФИКАТОР ВАЛЮТ</w:t>
      </w:r>
    </w:p>
    <w:p w:rsidR="00696C1E" w:rsidRDefault="00902934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ОК (МК (ИСО 4217) 003-97) 014-2000</w:t>
      </w:r>
    </w:p>
    <w:p w:rsidR="00696C1E" w:rsidRDefault="00696C1E">
      <w:pPr>
        <w:widowControl w:val="0"/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31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"/>
        <w:gridCol w:w="992"/>
        <w:gridCol w:w="993"/>
        <w:gridCol w:w="2834"/>
        <w:gridCol w:w="2694"/>
        <w:gridCol w:w="1897"/>
      </w:tblGrid>
      <w:tr w:rsidR="00696C1E" w:rsidTr="00A560BF">
        <w:trPr>
          <w:jc w:val="center"/>
        </w:trPr>
        <w:tc>
          <w:tcPr>
            <w:tcW w:w="90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</w:t>
            </w:r>
            <w:r w:rsidR="005B0CFD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виатура рубрики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 валюты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валюты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Краткое наименование стран и территорий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Обоснование изменения </w:t>
            </w:r>
          </w:p>
          <w:p w:rsidR="00696C1E" w:rsidRDefault="00696C1E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96C1E" w:rsidTr="00A560BF">
        <w:trPr>
          <w:jc w:val="center"/>
        </w:trPr>
        <w:tc>
          <w:tcPr>
            <w:tcW w:w="90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цифро-</w:t>
            </w:r>
          </w:p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буквен-</w:t>
            </w:r>
          </w:p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ный</w:t>
            </w: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6C1E" w:rsidTr="00A560BF">
        <w:trPr>
          <w:trHeight w:val="567"/>
          <w:jc w:val="center"/>
        </w:trPr>
        <w:tc>
          <w:tcPr>
            <w:tcW w:w="10318" w:type="dxa"/>
            <w:gridSpan w:val="6"/>
            <w:tcBorders>
              <w:top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ИЗМЕНИТЬ </w:t>
            </w:r>
          </w:p>
        </w:tc>
      </w:tr>
      <w:tr w:rsidR="00696C1E" w:rsidTr="00A560BF">
        <w:trPr>
          <w:jc w:val="center"/>
        </w:trPr>
        <w:tc>
          <w:tcPr>
            <w:tcW w:w="9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902934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99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A560BF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9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A560BF">
            <w:pPr>
              <w:pStyle w:val="ConsPlusNormal"/>
              <w:jc w:val="center"/>
            </w:pPr>
            <w:r w:rsidRPr="00A560BF">
              <w:t>HRK</w:t>
            </w:r>
          </w:p>
        </w:tc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A560BF">
            <w:pPr>
              <w:pStyle w:val="ConsPlusNormal"/>
            </w:pPr>
            <w:r w:rsidRPr="00A560BF">
              <w:t>Куна</w:t>
            </w:r>
          </w:p>
          <w:p w:rsidR="00696C1E" w:rsidRDefault="00902934" w:rsidP="00A560BF">
            <w:pPr>
              <w:pStyle w:val="ConsPlusNormal"/>
            </w:pPr>
            <w:r>
              <w:t>Пояснение:</w:t>
            </w:r>
            <w:r w:rsidR="00A560BF">
              <w:t xml:space="preserve"> </w:t>
            </w:r>
            <w:r w:rsidR="00A560BF">
              <w:t>данная валюта действует до 14 января 2023 г. включительно</w:t>
            </w:r>
          </w:p>
        </w:tc>
        <w:tc>
          <w:tcPr>
            <w:tcW w:w="26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A560BF">
            <w:pPr>
              <w:pStyle w:val="ConsPlusNormal"/>
            </w:pPr>
            <w:r w:rsidRPr="00A560BF">
              <w:t>Хорватия</w:t>
            </w:r>
          </w:p>
        </w:tc>
        <w:tc>
          <w:tcPr>
            <w:tcW w:w="1897" w:type="dxa"/>
          </w:tcPr>
          <w:p w:rsidR="00696C1E" w:rsidRDefault="00902934" w:rsidP="00A560BF">
            <w:pPr>
              <w:pStyle w:val="ConsPlusNormal"/>
            </w:pPr>
            <w:r>
              <w:t>Поправка № 17</w:t>
            </w:r>
            <w:r w:rsidR="00A560BF">
              <w:t>4</w:t>
            </w:r>
            <w:r>
              <w:t xml:space="preserve"> к ИСО 4217 от </w:t>
            </w:r>
            <w:r w:rsidR="00A560BF">
              <w:t>02</w:t>
            </w:r>
            <w:r>
              <w:t>.</w:t>
            </w:r>
            <w:r w:rsidR="00A560BF">
              <w:t>11</w:t>
            </w:r>
            <w:r>
              <w:t>.2022</w:t>
            </w:r>
          </w:p>
        </w:tc>
      </w:tr>
      <w:tr w:rsidR="00A560BF" w:rsidTr="00A560BF">
        <w:trPr>
          <w:jc w:val="center"/>
        </w:trPr>
        <w:tc>
          <w:tcPr>
            <w:tcW w:w="9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560BF" w:rsidRDefault="00A560BF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99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560BF" w:rsidRDefault="00A560BF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9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560BF" w:rsidRPr="00A560BF" w:rsidRDefault="00A560BF">
            <w:pPr>
              <w:pStyle w:val="ConsPlusNormal"/>
              <w:jc w:val="center"/>
            </w:pPr>
            <w:r w:rsidRPr="00A560BF">
              <w:t>EUR</w:t>
            </w:r>
          </w:p>
        </w:tc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560BF" w:rsidRPr="00A560BF" w:rsidRDefault="00A560BF">
            <w:pPr>
              <w:pStyle w:val="ConsPlusNormal"/>
            </w:pPr>
            <w:r w:rsidRPr="00A560BF">
              <w:t>Евро</w:t>
            </w:r>
          </w:p>
        </w:tc>
        <w:tc>
          <w:tcPr>
            <w:tcW w:w="26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560BF" w:rsidRPr="00A560BF" w:rsidRDefault="00A560BF">
            <w:pPr>
              <w:pStyle w:val="ConsPlusNormal"/>
            </w:pPr>
            <w:r w:rsidRPr="00A560BF">
              <w:t>Австрия; Андорра; Бельгия; Гваделупа; Германия; Греция; Ирландия; Испания; Италия; Кипр; Латвия; Литва; Люксембург; Майотта; Мальта; Мартиника; Монако; Нидерланды; Папский Престол (Государство-город Ватикан); Португалия; Реюньон; Сан-Марино; Сен-Бартелеми; Сен-Мартен (французская часть); Сент-Пьер и Микелон; Словакия; Словения; Финляндия; Франция; Французская Гвиана; Французские Южные территории; Хорватия; Черногория; Эландские острова; Эстония</w:t>
            </w:r>
          </w:p>
        </w:tc>
        <w:tc>
          <w:tcPr>
            <w:tcW w:w="1897" w:type="dxa"/>
          </w:tcPr>
          <w:p w:rsidR="00A560BF" w:rsidRDefault="00A560BF" w:rsidP="00A560BF">
            <w:pPr>
              <w:pStyle w:val="ConsPlusNormal"/>
              <w:jc w:val="center"/>
            </w:pPr>
            <w:r w:rsidRPr="00A560BF">
              <w:t>То же</w:t>
            </w:r>
          </w:p>
        </w:tc>
      </w:tr>
    </w:tbl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90293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приложения А, Б внести соответствующие изменения.</w:t>
      </w: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560BF" w:rsidRDefault="00A560BF" w:rsidP="00A560BF">
      <w:pPr>
        <w:pStyle w:val="ConsPlusNormal"/>
        <w:spacing w:line="276" w:lineRule="auto"/>
        <w:ind w:left="283" w:right="283"/>
        <w:jc w:val="both"/>
      </w:pPr>
      <w:r>
        <w:rPr>
          <w:b/>
          <w:spacing w:val="80"/>
        </w:rPr>
        <w:t>Примечание</w:t>
      </w:r>
      <w:r>
        <w:t xml:space="preserve"> - В изменении используется следующая рубрика:</w:t>
      </w:r>
    </w:p>
    <w:p w:rsidR="00696C1E" w:rsidRDefault="00A560BF" w:rsidP="00A560BF">
      <w:pPr>
        <w:pStyle w:val="ConsPlusNormal"/>
        <w:spacing w:line="276" w:lineRule="auto"/>
        <w:ind w:left="283" w:right="283"/>
        <w:jc w:val="both"/>
      </w:pPr>
      <w:r>
        <w:t>ИЗМЕНИТЬ (И) - изменение части позиции общероссийского классификатора без изменения ее кода.</w:t>
      </w: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902934">
      <w:pPr>
        <w:widowControl w:val="0"/>
        <w:spacing w:after="0" w:line="276" w:lineRule="auto"/>
        <w:ind w:left="284" w:righ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(ИУС № </w:t>
      </w:r>
      <w:r w:rsidR="005B0CF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202</w:t>
      </w:r>
      <w:r w:rsidR="005B0CFD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г.)</w:t>
      </w:r>
    </w:p>
    <w:p w:rsidR="00696C1E" w:rsidRDefault="00696C1E">
      <w:pPr>
        <w:pStyle w:val="ConsPlusNormal"/>
        <w:spacing w:line="276" w:lineRule="auto"/>
        <w:ind w:left="283" w:right="283"/>
        <w:jc w:val="both"/>
      </w:pPr>
    </w:p>
    <w:sectPr w:rsidR="00696C1E">
      <w:footerReference w:type="default" r:id="rId6"/>
      <w:footerReference w:type="first" r:id="rId7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214" w:rsidRDefault="00FC3214">
      <w:pPr>
        <w:spacing w:after="0" w:line="240" w:lineRule="auto"/>
      </w:pPr>
      <w:r>
        <w:separator/>
      </w:r>
    </w:p>
  </w:endnote>
  <w:endnote w:type="continuationSeparator" w:id="0">
    <w:p w:rsidR="00FC3214" w:rsidRDefault="00FC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C1E" w:rsidRDefault="00902934">
    <w:pPr>
      <w:pStyle w:val="a9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                                   Изменение </w:t>
    </w:r>
    <w:r w:rsidR="00AE7949">
      <w:rPr>
        <w:rFonts w:ascii="Times New Roman" w:hAnsi="Times New Roman"/>
        <w:b/>
        <w:color w:val="70AD47"/>
        <w:sz w:val="20"/>
      </w:rPr>
      <w:t>50</w:t>
    </w:r>
    <w:r>
      <w:rPr>
        <w:rFonts w:ascii="Times New Roman" w:hAnsi="Times New Roman"/>
        <w:b/>
        <w:color w:val="70AD47"/>
        <w:sz w:val="20"/>
      </w:rPr>
      <w:t>/2022 ОКВ                                   WWW.POPORYADKU.RU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C1E" w:rsidRDefault="00902934">
    <w:pPr>
      <w:pStyle w:val="a9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>                                   Изменение 47/2022 ОКВ                                 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214" w:rsidRDefault="00FC3214">
      <w:pPr>
        <w:spacing w:after="0" w:line="240" w:lineRule="auto"/>
      </w:pPr>
      <w:r>
        <w:separator/>
      </w:r>
    </w:p>
  </w:footnote>
  <w:footnote w:type="continuationSeparator" w:id="0">
    <w:p w:rsidR="00FC3214" w:rsidRDefault="00FC3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1E"/>
    <w:rsid w:val="000B309C"/>
    <w:rsid w:val="004A2AC7"/>
    <w:rsid w:val="005B0CFD"/>
    <w:rsid w:val="00696C1E"/>
    <w:rsid w:val="00784F68"/>
    <w:rsid w:val="00902934"/>
    <w:rsid w:val="00A560BF"/>
    <w:rsid w:val="00AE7949"/>
    <w:rsid w:val="00B92C00"/>
    <w:rsid w:val="00FC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0633F-5163-4CD4-9F6D-718FEAAB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">
    <w:name w:val="Обычная таблица1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Сетка таблицы1"/>
    <w:basedOn w:val="1"/>
    <w:qFormat/>
    <w:pPr>
      <w:spacing w:after="0" w:line="240" w:lineRule="auto"/>
    </w:pPr>
  </w:style>
  <w:style w:type="paragraph" w:customStyle="1" w:styleId="11">
    <w:name w:val="Сетка таблицы1"/>
    <w:basedOn w:val="1"/>
    <w:next w:val="10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47/2022 ОКВ ОК 014-2000</vt:lpstr>
    </vt:vector>
  </TitlesOfParts>
  <Manager>По порядку точка ру (poporyadku.ru)</Manager>
  <Company>По порядку точка ру (poporyadku.ru)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50/2022 ОКВ ОК 014-2000</dc:title>
  <dc:subject>Общероссийский классификатор валют (ОКВ)</dc:subject>
  <cp:keywords>ОКВ; классификатор; ОК 014-2000</cp:keywords>
  <cp:lastModifiedBy>Сергей</cp:lastModifiedBy>
  <cp:revision>6</cp:revision>
  <dcterms:created xsi:type="dcterms:W3CDTF">2023-02-05T16:14:00Z</dcterms:created>
  <dcterms:modified xsi:type="dcterms:W3CDTF">2023-12-21T12:56:00Z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2023-02-05T14:00:00Z</dcterms:modified>
  <cp:revision>36</cp:revision>
  <dc:subject/>
  <dc:title>"Изменение 47/2022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Сергей</vt:lpwstr>
  </property>
</Properties>
</file>